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7D9A" w14:textId="77777777" w:rsidR="00BF65B5" w:rsidRDefault="00F8126E" w:rsidP="00F8126E">
      <w:pPr>
        <w:autoSpaceDE w:val="0"/>
        <w:autoSpaceDN w:val="0"/>
        <w:adjustRightInd w:val="0"/>
        <w:jc w:val="right"/>
        <w:rPr>
          <w:rFonts w:ascii="Arial" w:hAnsi="Arial" w:cs="Arial"/>
          <w:color w:val="007DC3"/>
          <w:sz w:val="46"/>
          <w:szCs w:val="46"/>
          <w:lang w:val="en-US" w:eastAsia="en-US"/>
        </w:rPr>
      </w:pPr>
      <w:r>
        <w:rPr>
          <w:noProof/>
          <w:lang w:val="en-US" w:eastAsia="en-US"/>
        </w:rPr>
        <w:drawing>
          <wp:inline distT="0" distB="0" distL="0" distR="0" wp14:anchorId="5615EC46" wp14:editId="22162182">
            <wp:extent cx="1915885" cy="77526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DB_LH_TOP_TRIM_IMAGE_190130.jpg"/>
                    <pic:cNvPicPr/>
                  </pic:nvPicPr>
                  <pic:blipFill rotWithShape="1">
                    <a:blip r:embed="rId10" cstate="print">
                      <a:extLst>
                        <a:ext uri="{28A0092B-C50C-407E-A947-70E740481C1C}">
                          <a14:useLocalDpi xmlns:a14="http://schemas.microsoft.com/office/drawing/2010/main" val="0"/>
                        </a:ext>
                      </a:extLst>
                    </a:blip>
                    <a:srcRect r="76545" b="68364"/>
                    <a:stretch/>
                  </pic:blipFill>
                  <pic:spPr bwMode="auto">
                    <a:xfrm>
                      <a:off x="0" y="0"/>
                      <a:ext cx="1915885" cy="775263"/>
                    </a:xfrm>
                    <a:prstGeom prst="rect">
                      <a:avLst/>
                    </a:prstGeom>
                    <a:ln>
                      <a:noFill/>
                    </a:ln>
                    <a:extLst>
                      <a:ext uri="{53640926-AAD7-44D8-BBD7-CCE9431645EC}">
                        <a14:shadowObscured xmlns:a14="http://schemas.microsoft.com/office/drawing/2010/main"/>
                      </a:ext>
                    </a:extLst>
                  </pic:spPr>
                </pic:pic>
              </a:graphicData>
            </a:graphic>
          </wp:inline>
        </w:drawing>
      </w:r>
    </w:p>
    <w:p w14:paraId="13B85A3C" w14:textId="77777777" w:rsidR="00C05D28" w:rsidRDefault="00C05D28" w:rsidP="00E53226">
      <w:pPr>
        <w:rPr>
          <w:rFonts w:ascii="Arial" w:hAnsi="Arial" w:cs="Arial"/>
          <w:color w:val="007DC3"/>
          <w:sz w:val="46"/>
          <w:szCs w:val="46"/>
          <w:lang w:val="en-US" w:eastAsia="en-US"/>
        </w:rPr>
      </w:pPr>
    </w:p>
    <w:p w14:paraId="226A68BF" w14:textId="77777777" w:rsidR="009D46C5" w:rsidRPr="00197953" w:rsidRDefault="00C05D28" w:rsidP="00E53226">
      <w:pPr>
        <w:rPr>
          <w:lang w:val="pt-BR"/>
        </w:rPr>
      </w:pPr>
      <w:r w:rsidRPr="00C05D28">
        <w:rPr>
          <w:sz w:val="22"/>
          <w:szCs w:val="22"/>
          <w:lang w:val="pt-BR"/>
        </w:rPr>
        <w:tab/>
      </w:r>
      <w:r w:rsidRPr="00C05D28">
        <w:rPr>
          <w:lang w:val="pt-BR"/>
        </w:rPr>
        <w:tab/>
      </w:r>
      <w:r w:rsidRPr="00C05D28">
        <w:rPr>
          <w:lang w:val="pt-BR"/>
        </w:rPr>
        <w:tab/>
      </w:r>
      <w:r w:rsidRPr="00C05D28">
        <w:rPr>
          <w:lang w:val="pt-BR"/>
        </w:rPr>
        <w:tab/>
      </w:r>
      <w:r w:rsidRPr="00C05D28">
        <w:rPr>
          <w:lang w:val="pt-BR"/>
        </w:rPr>
        <w:tab/>
      </w:r>
      <w:r w:rsidRPr="00C05D28">
        <w:rPr>
          <w:lang w:val="pt-BR"/>
        </w:rPr>
        <w:tab/>
      </w:r>
    </w:p>
    <w:p w14:paraId="67411CA9" w14:textId="77777777" w:rsidR="009D46C5" w:rsidRPr="00197953" w:rsidRDefault="00C05D28" w:rsidP="009B46E4">
      <w:pPr>
        <w:tabs>
          <w:tab w:val="left" w:pos="2042"/>
        </w:tabs>
        <w:rPr>
          <w:lang w:val="pt-BR"/>
        </w:rPr>
      </w:pPr>
      <w:r>
        <w:rPr>
          <w:lang w:val="pt-BR"/>
        </w:rPr>
        <w:t xml:space="preserve">                </w:t>
      </w:r>
      <w:r>
        <w:rPr>
          <w:rFonts w:ascii="Arial" w:hAnsi="Arial" w:cs="Arial"/>
          <w:color w:val="007DC3"/>
          <w:lang w:val="pt-BR" w:eastAsia="en-US"/>
        </w:rPr>
        <w:t xml:space="preserve"> </w:t>
      </w:r>
      <w:r w:rsidR="009B46E4">
        <w:rPr>
          <w:rFonts w:ascii="Arial" w:hAnsi="Arial" w:cs="Arial"/>
          <w:color w:val="007DC3"/>
          <w:lang w:val="pt-BR" w:eastAsia="en-US"/>
        </w:rPr>
        <w:tab/>
      </w:r>
    </w:p>
    <w:p w14:paraId="47F55EDA" w14:textId="77777777" w:rsidR="00656A70" w:rsidRPr="00E82A74" w:rsidRDefault="00656A70" w:rsidP="00E53226"/>
    <w:p w14:paraId="2B44BAC5" w14:textId="77777777" w:rsidR="00BF65B5" w:rsidRDefault="00BF65B5" w:rsidP="00BF65B5">
      <w:pPr>
        <w:autoSpaceDE w:val="0"/>
        <w:autoSpaceDN w:val="0"/>
        <w:adjustRightInd w:val="0"/>
        <w:ind w:left="2250" w:hanging="90"/>
        <w:rPr>
          <w:rFonts w:ascii="Arial" w:hAnsi="Arial" w:cs="Arial"/>
          <w:color w:val="007DC3"/>
          <w:sz w:val="46"/>
          <w:szCs w:val="46"/>
          <w:lang w:val="en-US" w:eastAsia="en-US"/>
        </w:rPr>
      </w:pPr>
    </w:p>
    <w:p w14:paraId="06BDEEC9" w14:textId="77777777" w:rsidR="00BF65B5" w:rsidRDefault="00BF65B5" w:rsidP="00BF65B5">
      <w:pPr>
        <w:autoSpaceDE w:val="0"/>
        <w:autoSpaceDN w:val="0"/>
        <w:adjustRightInd w:val="0"/>
        <w:ind w:left="2250" w:hanging="90"/>
        <w:rPr>
          <w:rFonts w:ascii="Arial" w:hAnsi="Arial" w:cs="Arial"/>
          <w:color w:val="007DC3"/>
          <w:sz w:val="46"/>
          <w:szCs w:val="46"/>
          <w:lang w:val="en-US" w:eastAsia="en-US"/>
        </w:rPr>
      </w:pPr>
    </w:p>
    <w:p w14:paraId="3F7E58FB" w14:textId="77777777" w:rsidR="00BF65B5" w:rsidRDefault="00BF65B5" w:rsidP="00BF65B5">
      <w:pPr>
        <w:autoSpaceDE w:val="0"/>
        <w:autoSpaceDN w:val="0"/>
        <w:adjustRightInd w:val="0"/>
        <w:ind w:left="2250" w:hanging="90"/>
        <w:rPr>
          <w:rFonts w:ascii="Arial" w:hAnsi="Arial" w:cs="Arial"/>
          <w:color w:val="007DC3"/>
          <w:sz w:val="46"/>
          <w:szCs w:val="46"/>
          <w:lang w:val="en-US" w:eastAsia="en-US"/>
        </w:rPr>
      </w:pPr>
    </w:p>
    <w:p w14:paraId="6D28655B" w14:textId="77777777" w:rsidR="00BF65B5" w:rsidRDefault="00BF65B5" w:rsidP="00BF65B5">
      <w:pPr>
        <w:autoSpaceDE w:val="0"/>
        <w:autoSpaceDN w:val="0"/>
        <w:adjustRightInd w:val="0"/>
        <w:ind w:left="2250" w:hanging="90"/>
        <w:rPr>
          <w:rFonts w:ascii="Arial" w:hAnsi="Arial" w:cs="Arial"/>
          <w:color w:val="007DC3"/>
          <w:sz w:val="46"/>
          <w:szCs w:val="46"/>
          <w:lang w:val="en-US" w:eastAsia="en-US"/>
        </w:rPr>
      </w:pPr>
    </w:p>
    <w:p w14:paraId="41C53B89" w14:textId="77777777" w:rsidR="00F8126E" w:rsidRPr="00216C30" w:rsidRDefault="00D47787" w:rsidP="00F8126E">
      <w:pPr>
        <w:tabs>
          <w:tab w:val="left" w:pos="2160"/>
        </w:tabs>
        <w:autoSpaceDE w:val="0"/>
        <w:autoSpaceDN w:val="0"/>
        <w:adjustRightInd w:val="0"/>
        <w:spacing w:after="240"/>
        <w:ind w:left="2074" w:hanging="634"/>
        <w:rPr>
          <w:rFonts w:ascii="Arial" w:hAnsi="Arial"/>
          <w:color w:val="380070"/>
          <w:sz w:val="48"/>
          <w:lang w:val="en-US"/>
          <w14:textFill>
            <w14:solidFill>
              <w14:srgbClr w14:val="380070">
                <w14:alpha w14:val="39000"/>
              </w14:srgbClr>
            </w14:solidFill>
          </w14:textFill>
        </w:rPr>
      </w:pPr>
      <w:r>
        <w:rPr>
          <w:rFonts w:ascii="Arial" w:hAnsi="Arial" w:cs="Arial"/>
          <w:color w:val="380070"/>
          <w:sz w:val="48"/>
          <w:szCs w:val="46"/>
          <w:lang w:eastAsia="en-US"/>
          <w14:textFill>
            <w14:solidFill>
              <w14:srgbClr w14:val="380070">
                <w14:alpha w14:val="39000"/>
              </w14:srgbClr>
            </w14:solidFill>
          </w14:textFill>
        </w:rPr>
        <w:t>Duo Bank of</w:t>
      </w:r>
      <w:r w:rsidRPr="00216C30">
        <w:rPr>
          <w:rFonts w:ascii="Arial" w:hAnsi="Arial"/>
          <w:color w:val="380070"/>
          <w:sz w:val="48"/>
          <w14:textFill>
            <w14:solidFill>
              <w14:srgbClr w14:val="380070">
                <w14:alpha w14:val="39000"/>
              </w14:srgbClr>
            </w14:solidFill>
          </w14:textFill>
        </w:rPr>
        <w:t xml:space="preserve"> Canada</w:t>
      </w:r>
    </w:p>
    <w:p w14:paraId="4689CAC4" w14:textId="77777777" w:rsidR="00F8126E" w:rsidRPr="00216C30" w:rsidRDefault="00F8126E" w:rsidP="00F8126E">
      <w:pPr>
        <w:tabs>
          <w:tab w:val="left" w:pos="2160"/>
        </w:tabs>
        <w:autoSpaceDE w:val="0"/>
        <w:autoSpaceDN w:val="0"/>
        <w:adjustRightInd w:val="0"/>
        <w:spacing w:after="240"/>
        <w:ind w:left="2074" w:hanging="634"/>
        <w:rPr>
          <w:rFonts w:ascii="Arial" w:hAnsi="Arial"/>
          <w:b/>
          <w:color w:val="380070"/>
          <w:sz w:val="44"/>
          <w:lang w:val="en-US"/>
          <w14:textFill>
            <w14:solidFill>
              <w14:srgbClr w14:val="380070">
                <w14:alpha w14:val="39000"/>
              </w14:srgbClr>
            </w14:solidFill>
          </w14:textFill>
        </w:rPr>
      </w:pPr>
      <w:r w:rsidRPr="00216C30">
        <w:rPr>
          <w:rFonts w:ascii="Arial" w:hAnsi="Arial"/>
          <w:b/>
          <w:color w:val="380070"/>
          <w:sz w:val="44"/>
          <w:lang w:val="en-US"/>
          <w14:textFill>
            <w14:solidFill>
              <w14:srgbClr w14:val="380070">
                <w14:alpha w14:val="39000"/>
              </w14:srgbClr>
            </w14:solidFill>
          </w14:textFill>
        </w:rPr>
        <w:t>Basel III Pillar 3 Disclosures</w:t>
      </w:r>
    </w:p>
    <w:p w14:paraId="2F348C6F" w14:textId="206DBDF3" w:rsidR="00F8126E" w:rsidRPr="00216C30" w:rsidRDefault="00F8126E" w:rsidP="00F8126E">
      <w:pPr>
        <w:tabs>
          <w:tab w:val="left" w:pos="2160"/>
        </w:tabs>
        <w:autoSpaceDE w:val="0"/>
        <w:autoSpaceDN w:val="0"/>
        <w:adjustRightInd w:val="0"/>
        <w:spacing w:after="240"/>
        <w:ind w:left="2074" w:hanging="634"/>
        <w:rPr>
          <w:rFonts w:ascii="Arial" w:hAnsi="Arial"/>
          <w:color w:val="380070"/>
          <w:sz w:val="44"/>
          <w:lang w:val="en-US"/>
          <w14:textFill>
            <w14:solidFill>
              <w14:srgbClr w14:val="380070">
                <w14:alpha w14:val="39000"/>
              </w14:srgbClr>
            </w14:solidFill>
          </w14:textFill>
        </w:rPr>
      </w:pPr>
      <w:r w:rsidRPr="00216C30">
        <w:rPr>
          <w:rFonts w:ascii="Arial" w:hAnsi="Arial"/>
          <w:color w:val="380070"/>
          <w:sz w:val="44"/>
          <w:lang w:val="en-US"/>
          <w14:textFill>
            <w14:solidFill>
              <w14:srgbClr w14:val="380070">
                <w14:alpha w14:val="39000"/>
              </w14:srgbClr>
            </w14:solidFill>
          </w14:textFill>
        </w:rPr>
        <w:t xml:space="preserve">As at </w:t>
      </w:r>
      <w:r w:rsidR="001A165C">
        <w:rPr>
          <w:rFonts w:ascii="Arial" w:hAnsi="Arial" w:cs="Arial"/>
          <w:color w:val="380070"/>
          <w:sz w:val="44"/>
          <w:szCs w:val="46"/>
          <w:lang w:val="en-US" w:eastAsia="en-US"/>
          <w14:textFill>
            <w14:solidFill>
              <w14:srgbClr w14:val="380070">
                <w14:alpha w14:val="39000"/>
              </w14:srgbClr>
            </w14:solidFill>
          </w14:textFill>
        </w:rPr>
        <w:t>December</w:t>
      </w:r>
      <w:r w:rsidR="00B91B24">
        <w:rPr>
          <w:rFonts w:ascii="Arial" w:hAnsi="Arial" w:cs="Arial"/>
          <w:color w:val="380070"/>
          <w:sz w:val="44"/>
          <w:szCs w:val="46"/>
          <w:lang w:val="en-US" w:eastAsia="en-US"/>
          <w14:textFill>
            <w14:solidFill>
              <w14:srgbClr w14:val="380070">
                <w14:alpha w14:val="39000"/>
              </w14:srgbClr>
            </w14:solidFill>
          </w14:textFill>
        </w:rPr>
        <w:t xml:space="preserve"> 3</w:t>
      </w:r>
      <w:r w:rsidR="001A165C">
        <w:rPr>
          <w:rFonts w:ascii="Arial" w:hAnsi="Arial" w:cs="Arial"/>
          <w:color w:val="380070"/>
          <w:sz w:val="44"/>
          <w:szCs w:val="46"/>
          <w:lang w:val="en-US" w:eastAsia="en-US"/>
          <w14:textFill>
            <w14:solidFill>
              <w14:srgbClr w14:val="380070">
                <w14:alpha w14:val="39000"/>
              </w14:srgbClr>
            </w14:solidFill>
          </w14:textFill>
        </w:rPr>
        <w:t>1</w:t>
      </w:r>
      <w:r w:rsidR="00B91B24" w:rsidRPr="00216C30">
        <w:rPr>
          <w:rFonts w:ascii="Arial" w:hAnsi="Arial"/>
          <w:color w:val="380070"/>
          <w:sz w:val="44"/>
          <w:lang w:val="en-US"/>
          <w14:textFill>
            <w14:solidFill>
              <w14:srgbClr w14:val="380070">
                <w14:alpha w14:val="39000"/>
              </w14:srgbClr>
            </w14:solidFill>
          </w14:textFill>
        </w:rPr>
        <w:t>, 2019</w:t>
      </w:r>
    </w:p>
    <w:p w14:paraId="0DFC3FE4" w14:textId="77777777" w:rsidR="00BF65B5" w:rsidRDefault="001F418C" w:rsidP="00BF65B5">
      <w:pPr>
        <w:rPr>
          <w:b/>
          <w:sz w:val="32"/>
        </w:rPr>
      </w:pPr>
      <w:r w:rsidRPr="00BF65B5">
        <w:rPr>
          <w:b/>
          <w:sz w:val="32"/>
        </w:rPr>
        <w:br w:type="page"/>
      </w:r>
    </w:p>
    <w:p w14:paraId="212BBED5" w14:textId="77777777" w:rsidR="00927FF7" w:rsidRPr="00216C30" w:rsidRDefault="002F3395" w:rsidP="00216C30">
      <w:pPr>
        <w:tabs>
          <w:tab w:val="left" w:pos="2160"/>
        </w:tabs>
        <w:autoSpaceDE w:val="0"/>
        <w:autoSpaceDN w:val="0"/>
        <w:adjustRightInd w:val="0"/>
        <w:spacing w:after="240"/>
        <w:jc w:val="left"/>
        <w:rPr>
          <w:color w:val="380070"/>
          <w:lang w:val="en-US"/>
          <w14:textFill>
            <w14:solidFill>
              <w14:srgbClr w14:val="380070">
                <w14:alpha w14:val="39000"/>
              </w14:srgbClr>
            </w14:solidFill>
          </w14:textFill>
        </w:rPr>
      </w:pPr>
      <w:r w:rsidRPr="00216C30">
        <w:rPr>
          <w:rFonts w:ascii="Arial" w:hAnsi="Arial"/>
          <w:b/>
          <w:color w:val="380070"/>
          <w:sz w:val="36"/>
          <w:lang w:val="en-US"/>
          <w14:textFill>
            <w14:solidFill>
              <w14:srgbClr w14:val="380070">
                <w14:alpha w14:val="39000"/>
              </w14:srgbClr>
            </w14:solidFill>
          </w14:textFill>
        </w:rPr>
        <w:lastRenderedPageBreak/>
        <w:t>T</w:t>
      </w:r>
      <w:r w:rsidR="00927FF7" w:rsidRPr="00216C30">
        <w:rPr>
          <w:rFonts w:ascii="Arial" w:hAnsi="Arial"/>
          <w:b/>
          <w:color w:val="380070"/>
          <w:sz w:val="36"/>
          <w:lang w:val="en-US"/>
          <w14:textFill>
            <w14:solidFill>
              <w14:srgbClr w14:val="380070">
                <w14:alpha w14:val="39000"/>
              </w14:srgbClr>
            </w14:solidFill>
          </w14:textFill>
        </w:rPr>
        <w:t>A</w:t>
      </w:r>
      <w:r w:rsidR="00BF65B5" w:rsidRPr="00216C30">
        <w:rPr>
          <w:rFonts w:ascii="Arial" w:hAnsi="Arial"/>
          <w:b/>
          <w:color w:val="380070"/>
          <w:sz w:val="36"/>
          <w:lang w:val="en-US"/>
          <w14:textFill>
            <w14:solidFill>
              <w14:srgbClr w14:val="380070">
                <w14:alpha w14:val="39000"/>
              </w14:srgbClr>
            </w14:solidFill>
          </w14:textFill>
        </w:rPr>
        <w:t>BLE OF CONTENTS</w:t>
      </w:r>
    </w:p>
    <w:p w14:paraId="2644C347" w14:textId="77777777" w:rsidR="00927FF7" w:rsidRDefault="00927FF7" w:rsidP="00E53226">
      <w:pPr>
        <w:rPr>
          <w:lang w:val="en-US" w:eastAsia="en-US"/>
        </w:rPr>
      </w:pPr>
    </w:p>
    <w:p w14:paraId="370442BA" w14:textId="77777777" w:rsidR="00E53226" w:rsidRDefault="00E53226" w:rsidP="00E53226">
      <w:pPr>
        <w:rPr>
          <w:lang w:val="en-US" w:eastAsia="en-US"/>
        </w:rPr>
      </w:pPr>
    </w:p>
    <w:p w14:paraId="39809B6F" w14:textId="77777777" w:rsidR="006B6F88" w:rsidRDefault="006B6F88" w:rsidP="00E53226">
      <w:pPr>
        <w:rPr>
          <w:lang w:val="en-US" w:eastAsia="en-US"/>
        </w:rPr>
      </w:pPr>
    </w:p>
    <w:p w14:paraId="15D7BE34" w14:textId="77777777" w:rsidR="00E53226" w:rsidRPr="00927FF7" w:rsidRDefault="00E53226" w:rsidP="00E53226">
      <w:pPr>
        <w:rPr>
          <w:lang w:val="en-US" w:eastAsia="en-US"/>
        </w:rPr>
      </w:pPr>
    </w:p>
    <w:p w14:paraId="4FD66595" w14:textId="279082F6" w:rsidR="00BF7BED" w:rsidRDefault="002F339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875933" w:history="1">
        <w:r w:rsidR="00BF7BED" w:rsidRPr="00B12458">
          <w:rPr>
            <w:rStyle w:val="Hyperlink"/>
            <w:rFonts w:ascii="Arial" w:hAnsi="Arial" w:cs="Arial"/>
            <w:noProof/>
          </w:rPr>
          <w:t>DOCUMENT OVERVIEW</w:t>
        </w:r>
        <w:r w:rsidR="00BF7BED">
          <w:rPr>
            <w:noProof/>
            <w:webHidden/>
          </w:rPr>
          <w:tab/>
        </w:r>
        <w:r w:rsidR="00BF7BED">
          <w:rPr>
            <w:noProof/>
            <w:webHidden/>
          </w:rPr>
          <w:fldChar w:fldCharType="begin"/>
        </w:r>
        <w:r w:rsidR="00BF7BED">
          <w:rPr>
            <w:noProof/>
            <w:webHidden/>
          </w:rPr>
          <w:instrText xml:space="preserve"> PAGEREF _Toc38875933 \h </w:instrText>
        </w:r>
        <w:r w:rsidR="00BF7BED">
          <w:rPr>
            <w:noProof/>
            <w:webHidden/>
          </w:rPr>
        </w:r>
        <w:r w:rsidR="00BF7BED">
          <w:rPr>
            <w:noProof/>
            <w:webHidden/>
          </w:rPr>
          <w:fldChar w:fldCharType="separate"/>
        </w:r>
        <w:r w:rsidR="00BF7BED">
          <w:rPr>
            <w:noProof/>
            <w:webHidden/>
          </w:rPr>
          <w:t>3</w:t>
        </w:r>
        <w:r w:rsidR="00BF7BED">
          <w:rPr>
            <w:noProof/>
            <w:webHidden/>
          </w:rPr>
          <w:fldChar w:fldCharType="end"/>
        </w:r>
      </w:hyperlink>
    </w:p>
    <w:p w14:paraId="6F03E975" w14:textId="42A24425" w:rsidR="00BF7BED" w:rsidRDefault="0010735B">
      <w:pPr>
        <w:pStyle w:val="TOC1"/>
        <w:rPr>
          <w:rFonts w:asciiTheme="minorHAnsi" w:eastAsiaTheme="minorEastAsia" w:hAnsiTheme="minorHAnsi" w:cstheme="minorBidi"/>
          <w:noProof/>
          <w:sz w:val="22"/>
          <w:szCs w:val="22"/>
        </w:rPr>
      </w:pPr>
      <w:hyperlink w:anchor="_Toc38875934" w:history="1">
        <w:r w:rsidR="00BF7BED" w:rsidRPr="00B12458">
          <w:rPr>
            <w:rStyle w:val="Hyperlink"/>
            <w:rFonts w:ascii="Arial" w:hAnsi="Arial" w:cs="Arial"/>
            <w:noProof/>
          </w:rPr>
          <w:t>REPORTING ENTITY</w:t>
        </w:r>
        <w:r w:rsidR="00BF7BED">
          <w:rPr>
            <w:noProof/>
            <w:webHidden/>
          </w:rPr>
          <w:tab/>
        </w:r>
        <w:r w:rsidR="00BF7BED">
          <w:rPr>
            <w:noProof/>
            <w:webHidden/>
          </w:rPr>
          <w:fldChar w:fldCharType="begin"/>
        </w:r>
        <w:r w:rsidR="00BF7BED">
          <w:rPr>
            <w:noProof/>
            <w:webHidden/>
          </w:rPr>
          <w:instrText xml:space="preserve"> PAGEREF _Toc38875934 \h </w:instrText>
        </w:r>
        <w:r w:rsidR="00BF7BED">
          <w:rPr>
            <w:noProof/>
            <w:webHidden/>
          </w:rPr>
        </w:r>
        <w:r w:rsidR="00BF7BED">
          <w:rPr>
            <w:noProof/>
            <w:webHidden/>
          </w:rPr>
          <w:fldChar w:fldCharType="separate"/>
        </w:r>
        <w:r w:rsidR="00BF7BED">
          <w:rPr>
            <w:noProof/>
            <w:webHidden/>
          </w:rPr>
          <w:t>3</w:t>
        </w:r>
        <w:r w:rsidR="00BF7BED">
          <w:rPr>
            <w:noProof/>
            <w:webHidden/>
          </w:rPr>
          <w:fldChar w:fldCharType="end"/>
        </w:r>
      </w:hyperlink>
    </w:p>
    <w:p w14:paraId="04200FAA" w14:textId="04298CC3" w:rsidR="00BF7BED" w:rsidRDefault="0010735B">
      <w:pPr>
        <w:pStyle w:val="TOC1"/>
        <w:rPr>
          <w:rFonts w:asciiTheme="minorHAnsi" w:eastAsiaTheme="minorEastAsia" w:hAnsiTheme="minorHAnsi" w:cstheme="minorBidi"/>
          <w:noProof/>
          <w:sz w:val="22"/>
          <w:szCs w:val="22"/>
        </w:rPr>
      </w:pPr>
      <w:hyperlink w:anchor="_Toc38875935" w:history="1">
        <w:r w:rsidR="00BF7BED" w:rsidRPr="00B12458">
          <w:rPr>
            <w:rStyle w:val="Hyperlink"/>
            <w:rFonts w:ascii="Arial" w:hAnsi="Arial" w:cs="Arial"/>
            <w:noProof/>
          </w:rPr>
          <w:t>FINANCIAL RISK MANAGEMENT</w:t>
        </w:r>
        <w:r w:rsidR="00BF7BED">
          <w:rPr>
            <w:noProof/>
            <w:webHidden/>
          </w:rPr>
          <w:tab/>
        </w:r>
        <w:r w:rsidR="00BF7BED">
          <w:rPr>
            <w:noProof/>
            <w:webHidden/>
          </w:rPr>
          <w:fldChar w:fldCharType="begin"/>
        </w:r>
        <w:r w:rsidR="00BF7BED">
          <w:rPr>
            <w:noProof/>
            <w:webHidden/>
          </w:rPr>
          <w:instrText xml:space="preserve"> PAGEREF _Toc38875935 \h </w:instrText>
        </w:r>
        <w:r w:rsidR="00BF7BED">
          <w:rPr>
            <w:noProof/>
            <w:webHidden/>
          </w:rPr>
        </w:r>
        <w:r w:rsidR="00BF7BED">
          <w:rPr>
            <w:noProof/>
            <w:webHidden/>
          </w:rPr>
          <w:fldChar w:fldCharType="separate"/>
        </w:r>
        <w:r w:rsidR="00BF7BED">
          <w:rPr>
            <w:noProof/>
            <w:webHidden/>
          </w:rPr>
          <w:t>3</w:t>
        </w:r>
        <w:r w:rsidR="00BF7BED">
          <w:rPr>
            <w:noProof/>
            <w:webHidden/>
          </w:rPr>
          <w:fldChar w:fldCharType="end"/>
        </w:r>
      </w:hyperlink>
    </w:p>
    <w:p w14:paraId="5D059E6F" w14:textId="02E7E8FC" w:rsidR="00BF7BED" w:rsidRDefault="0010735B">
      <w:pPr>
        <w:pStyle w:val="TOC2"/>
        <w:rPr>
          <w:rFonts w:asciiTheme="minorHAnsi" w:eastAsiaTheme="minorEastAsia" w:hAnsiTheme="minorHAnsi" w:cstheme="minorBidi"/>
          <w:noProof/>
          <w:sz w:val="22"/>
          <w:szCs w:val="22"/>
        </w:rPr>
      </w:pPr>
      <w:hyperlink w:anchor="_Toc38875936" w:history="1">
        <w:r w:rsidR="00BF7BED" w:rsidRPr="00B12458">
          <w:rPr>
            <w:rStyle w:val="Hyperlink"/>
            <w:rFonts w:ascii="Arial" w:hAnsi="Arial" w:cs="Arial"/>
            <w:noProof/>
          </w:rPr>
          <w:t>Risk management framework</w:t>
        </w:r>
        <w:r w:rsidR="00BF7BED">
          <w:rPr>
            <w:noProof/>
            <w:webHidden/>
          </w:rPr>
          <w:tab/>
        </w:r>
        <w:r w:rsidR="00BF7BED">
          <w:rPr>
            <w:noProof/>
            <w:webHidden/>
          </w:rPr>
          <w:fldChar w:fldCharType="begin"/>
        </w:r>
        <w:r w:rsidR="00BF7BED">
          <w:rPr>
            <w:noProof/>
            <w:webHidden/>
          </w:rPr>
          <w:instrText xml:space="preserve"> PAGEREF _Toc38875936 \h </w:instrText>
        </w:r>
        <w:r w:rsidR="00BF7BED">
          <w:rPr>
            <w:noProof/>
            <w:webHidden/>
          </w:rPr>
        </w:r>
        <w:r w:rsidR="00BF7BED">
          <w:rPr>
            <w:noProof/>
            <w:webHidden/>
          </w:rPr>
          <w:fldChar w:fldCharType="separate"/>
        </w:r>
        <w:r w:rsidR="00BF7BED">
          <w:rPr>
            <w:noProof/>
            <w:webHidden/>
          </w:rPr>
          <w:t>3</w:t>
        </w:r>
        <w:r w:rsidR="00BF7BED">
          <w:rPr>
            <w:noProof/>
            <w:webHidden/>
          </w:rPr>
          <w:fldChar w:fldCharType="end"/>
        </w:r>
      </w:hyperlink>
    </w:p>
    <w:p w14:paraId="3B9BF293" w14:textId="61A7DD61" w:rsidR="00BF7BED" w:rsidRDefault="0010735B">
      <w:pPr>
        <w:pStyle w:val="TOC2"/>
        <w:rPr>
          <w:rFonts w:asciiTheme="minorHAnsi" w:eastAsiaTheme="minorEastAsia" w:hAnsiTheme="minorHAnsi" w:cstheme="minorBidi"/>
          <w:noProof/>
          <w:sz w:val="22"/>
          <w:szCs w:val="22"/>
        </w:rPr>
      </w:pPr>
      <w:hyperlink w:anchor="_Toc38875937" w:history="1">
        <w:r w:rsidR="00BF7BED" w:rsidRPr="00B12458">
          <w:rPr>
            <w:rStyle w:val="Hyperlink"/>
            <w:rFonts w:ascii="Arial" w:hAnsi="Arial" w:cs="Arial"/>
            <w:noProof/>
          </w:rPr>
          <w:t>Credit risk</w:t>
        </w:r>
        <w:r w:rsidR="00BF7BED">
          <w:rPr>
            <w:noProof/>
            <w:webHidden/>
          </w:rPr>
          <w:tab/>
        </w:r>
        <w:r w:rsidR="00BF7BED">
          <w:rPr>
            <w:noProof/>
            <w:webHidden/>
          </w:rPr>
          <w:fldChar w:fldCharType="begin"/>
        </w:r>
        <w:r w:rsidR="00BF7BED">
          <w:rPr>
            <w:noProof/>
            <w:webHidden/>
          </w:rPr>
          <w:instrText xml:space="preserve"> PAGEREF _Toc38875937 \h </w:instrText>
        </w:r>
        <w:r w:rsidR="00BF7BED">
          <w:rPr>
            <w:noProof/>
            <w:webHidden/>
          </w:rPr>
        </w:r>
        <w:r w:rsidR="00BF7BED">
          <w:rPr>
            <w:noProof/>
            <w:webHidden/>
          </w:rPr>
          <w:fldChar w:fldCharType="separate"/>
        </w:r>
        <w:r w:rsidR="00BF7BED">
          <w:rPr>
            <w:noProof/>
            <w:webHidden/>
          </w:rPr>
          <w:t>4</w:t>
        </w:r>
        <w:r w:rsidR="00BF7BED">
          <w:rPr>
            <w:noProof/>
            <w:webHidden/>
          </w:rPr>
          <w:fldChar w:fldCharType="end"/>
        </w:r>
      </w:hyperlink>
    </w:p>
    <w:p w14:paraId="68B5BA9B" w14:textId="35B54E5D" w:rsidR="00BF7BED" w:rsidRDefault="0010735B">
      <w:pPr>
        <w:pStyle w:val="TOC2"/>
        <w:rPr>
          <w:rFonts w:asciiTheme="minorHAnsi" w:eastAsiaTheme="minorEastAsia" w:hAnsiTheme="minorHAnsi" w:cstheme="minorBidi"/>
          <w:noProof/>
          <w:sz w:val="22"/>
          <w:szCs w:val="22"/>
        </w:rPr>
      </w:pPr>
      <w:hyperlink w:anchor="_Toc38875938" w:history="1">
        <w:r w:rsidR="00BF7BED" w:rsidRPr="00B12458">
          <w:rPr>
            <w:rStyle w:val="Hyperlink"/>
            <w:rFonts w:ascii="Arial" w:hAnsi="Arial" w:cs="Arial"/>
            <w:noProof/>
          </w:rPr>
          <w:t>Market risk</w:t>
        </w:r>
        <w:r w:rsidR="00BF7BED">
          <w:rPr>
            <w:noProof/>
            <w:webHidden/>
          </w:rPr>
          <w:tab/>
        </w:r>
        <w:r w:rsidR="00BF7BED">
          <w:rPr>
            <w:noProof/>
            <w:webHidden/>
          </w:rPr>
          <w:fldChar w:fldCharType="begin"/>
        </w:r>
        <w:r w:rsidR="00BF7BED">
          <w:rPr>
            <w:noProof/>
            <w:webHidden/>
          </w:rPr>
          <w:instrText xml:space="preserve"> PAGEREF _Toc38875938 \h </w:instrText>
        </w:r>
        <w:r w:rsidR="00BF7BED">
          <w:rPr>
            <w:noProof/>
            <w:webHidden/>
          </w:rPr>
        </w:r>
        <w:r w:rsidR="00BF7BED">
          <w:rPr>
            <w:noProof/>
            <w:webHidden/>
          </w:rPr>
          <w:fldChar w:fldCharType="separate"/>
        </w:r>
        <w:r w:rsidR="00BF7BED">
          <w:rPr>
            <w:noProof/>
            <w:webHidden/>
          </w:rPr>
          <w:t>4</w:t>
        </w:r>
        <w:r w:rsidR="00BF7BED">
          <w:rPr>
            <w:noProof/>
            <w:webHidden/>
          </w:rPr>
          <w:fldChar w:fldCharType="end"/>
        </w:r>
      </w:hyperlink>
    </w:p>
    <w:p w14:paraId="1EC4B7E8" w14:textId="10794BF9" w:rsidR="00BF7BED" w:rsidRDefault="0010735B">
      <w:pPr>
        <w:pStyle w:val="TOC2"/>
        <w:rPr>
          <w:rFonts w:asciiTheme="minorHAnsi" w:eastAsiaTheme="minorEastAsia" w:hAnsiTheme="minorHAnsi" w:cstheme="minorBidi"/>
          <w:noProof/>
          <w:sz w:val="22"/>
          <w:szCs w:val="22"/>
        </w:rPr>
      </w:pPr>
      <w:hyperlink w:anchor="_Toc38875939" w:history="1">
        <w:r w:rsidR="00BF7BED" w:rsidRPr="00B12458">
          <w:rPr>
            <w:rStyle w:val="Hyperlink"/>
            <w:rFonts w:ascii="Arial" w:hAnsi="Arial" w:cs="Arial"/>
            <w:noProof/>
          </w:rPr>
          <w:t>Equity risk</w:t>
        </w:r>
        <w:r w:rsidR="00BF7BED">
          <w:rPr>
            <w:noProof/>
            <w:webHidden/>
          </w:rPr>
          <w:tab/>
        </w:r>
        <w:r w:rsidR="00BF7BED">
          <w:rPr>
            <w:noProof/>
            <w:webHidden/>
          </w:rPr>
          <w:fldChar w:fldCharType="begin"/>
        </w:r>
        <w:r w:rsidR="00BF7BED">
          <w:rPr>
            <w:noProof/>
            <w:webHidden/>
          </w:rPr>
          <w:instrText xml:space="preserve"> PAGEREF _Toc38875939 \h </w:instrText>
        </w:r>
        <w:r w:rsidR="00BF7BED">
          <w:rPr>
            <w:noProof/>
            <w:webHidden/>
          </w:rPr>
        </w:r>
        <w:r w:rsidR="00BF7BED">
          <w:rPr>
            <w:noProof/>
            <w:webHidden/>
          </w:rPr>
          <w:fldChar w:fldCharType="separate"/>
        </w:r>
        <w:r w:rsidR="00BF7BED">
          <w:rPr>
            <w:noProof/>
            <w:webHidden/>
          </w:rPr>
          <w:t>4</w:t>
        </w:r>
        <w:r w:rsidR="00BF7BED">
          <w:rPr>
            <w:noProof/>
            <w:webHidden/>
          </w:rPr>
          <w:fldChar w:fldCharType="end"/>
        </w:r>
      </w:hyperlink>
    </w:p>
    <w:p w14:paraId="7BD012D3" w14:textId="37146B54" w:rsidR="00BF7BED" w:rsidRDefault="0010735B">
      <w:pPr>
        <w:pStyle w:val="TOC2"/>
        <w:rPr>
          <w:rFonts w:asciiTheme="minorHAnsi" w:eastAsiaTheme="minorEastAsia" w:hAnsiTheme="minorHAnsi" w:cstheme="minorBidi"/>
          <w:noProof/>
          <w:sz w:val="22"/>
          <w:szCs w:val="22"/>
        </w:rPr>
      </w:pPr>
      <w:hyperlink w:anchor="_Toc38875940" w:history="1">
        <w:r w:rsidR="00BF7BED" w:rsidRPr="00B12458">
          <w:rPr>
            <w:rStyle w:val="Hyperlink"/>
            <w:rFonts w:ascii="Arial" w:hAnsi="Arial" w:cs="Arial"/>
            <w:noProof/>
          </w:rPr>
          <w:t>Interest Rate Risk</w:t>
        </w:r>
        <w:r w:rsidR="00BF7BED">
          <w:rPr>
            <w:noProof/>
            <w:webHidden/>
          </w:rPr>
          <w:tab/>
        </w:r>
        <w:r w:rsidR="00BF7BED">
          <w:rPr>
            <w:noProof/>
            <w:webHidden/>
          </w:rPr>
          <w:fldChar w:fldCharType="begin"/>
        </w:r>
        <w:r w:rsidR="00BF7BED">
          <w:rPr>
            <w:noProof/>
            <w:webHidden/>
          </w:rPr>
          <w:instrText xml:space="preserve"> PAGEREF _Toc38875940 \h </w:instrText>
        </w:r>
        <w:r w:rsidR="00BF7BED">
          <w:rPr>
            <w:noProof/>
            <w:webHidden/>
          </w:rPr>
        </w:r>
        <w:r w:rsidR="00BF7BED">
          <w:rPr>
            <w:noProof/>
            <w:webHidden/>
          </w:rPr>
          <w:fldChar w:fldCharType="separate"/>
        </w:r>
        <w:r w:rsidR="00BF7BED">
          <w:rPr>
            <w:noProof/>
            <w:webHidden/>
          </w:rPr>
          <w:t>4</w:t>
        </w:r>
        <w:r w:rsidR="00BF7BED">
          <w:rPr>
            <w:noProof/>
            <w:webHidden/>
          </w:rPr>
          <w:fldChar w:fldCharType="end"/>
        </w:r>
      </w:hyperlink>
    </w:p>
    <w:p w14:paraId="786F16CB" w14:textId="6A631936" w:rsidR="00BF7BED" w:rsidRDefault="0010735B">
      <w:pPr>
        <w:pStyle w:val="TOC2"/>
        <w:rPr>
          <w:rFonts w:asciiTheme="minorHAnsi" w:eastAsiaTheme="minorEastAsia" w:hAnsiTheme="minorHAnsi" w:cstheme="minorBidi"/>
          <w:noProof/>
          <w:sz w:val="22"/>
          <w:szCs w:val="22"/>
        </w:rPr>
      </w:pPr>
      <w:hyperlink w:anchor="_Toc38875941" w:history="1">
        <w:r w:rsidR="00BF7BED" w:rsidRPr="00B12458">
          <w:rPr>
            <w:rStyle w:val="Hyperlink"/>
            <w:rFonts w:ascii="Arial" w:hAnsi="Arial" w:cs="Arial"/>
            <w:noProof/>
          </w:rPr>
          <w:t>Liquidity risk</w:t>
        </w:r>
        <w:r w:rsidR="00BF7BED">
          <w:rPr>
            <w:noProof/>
            <w:webHidden/>
          </w:rPr>
          <w:tab/>
        </w:r>
        <w:r w:rsidR="00BF7BED">
          <w:rPr>
            <w:noProof/>
            <w:webHidden/>
          </w:rPr>
          <w:fldChar w:fldCharType="begin"/>
        </w:r>
        <w:r w:rsidR="00BF7BED">
          <w:rPr>
            <w:noProof/>
            <w:webHidden/>
          </w:rPr>
          <w:instrText xml:space="preserve"> PAGEREF _Toc38875941 \h </w:instrText>
        </w:r>
        <w:r w:rsidR="00BF7BED">
          <w:rPr>
            <w:noProof/>
            <w:webHidden/>
          </w:rPr>
        </w:r>
        <w:r w:rsidR="00BF7BED">
          <w:rPr>
            <w:noProof/>
            <w:webHidden/>
          </w:rPr>
          <w:fldChar w:fldCharType="separate"/>
        </w:r>
        <w:r w:rsidR="00BF7BED">
          <w:rPr>
            <w:noProof/>
            <w:webHidden/>
          </w:rPr>
          <w:t>5</w:t>
        </w:r>
        <w:r w:rsidR="00BF7BED">
          <w:rPr>
            <w:noProof/>
            <w:webHidden/>
          </w:rPr>
          <w:fldChar w:fldCharType="end"/>
        </w:r>
      </w:hyperlink>
    </w:p>
    <w:p w14:paraId="58CA6A8C" w14:textId="7DB45A30" w:rsidR="00BF7BED" w:rsidRDefault="0010735B">
      <w:pPr>
        <w:pStyle w:val="TOC2"/>
        <w:rPr>
          <w:rFonts w:asciiTheme="minorHAnsi" w:eastAsiaTheme="minorEastAsia" w:hAnsiTheme="minorHAnsi" w:cstheme="minorBidi"/>
          <w:noProof/>
          <w:sz w:val="22"/>
          <w:szCs w:val="22"/>
        </w:rPr>
      </w:pPr>
      <w:hyperlink w:anchor="_Toc38875942" w:history="1">
        <w:r w:rsidR="00BF7BED" w:rsidRPr="00B12458">
          <w:rPr>
            <w:rStyle w:val="Hyperlink"/>
            <w:rFonts w:ascii="Arial" w:hAnsi="Arial" w:cs="Arial"/>
            <w:noProof/>
          </w:rPr>
          <w:t>Operational risk</w:t>
        </w:r>
        <w:r w:rsidR="00BF7BED">
          <w:rPr>
            <w:noProof/>
            <w:webHidden/>
          </w:rPr>
          <w:tab/>
        </w:r>
        <w:r w:rsidR="00BF7BED">
          <w:rPr>
            <w:noProof/>
            <w:webHidden/>
          </w:rPr>
          <w:fldChar w:fldCharType="begin"/>
        </w:r>
        <w:r w:rsidR="00BF7BED">
          <w:rPr>
            <w:noProof/>
            <w:webHidden/>
          </w:rPr>
          <w:instrText xml:space="preserve"> PAGEREF _Toc38875942 \h </w:instrText>
        </w:r>
        <w:r w:rsidR="00BF7BED">
          <w:rPr>
            <w:noProof/>
            <w:webHidden/>
          </w:rPr>
        </w:r>
        <w:r w:rsidR="00BF7BED">
          <w:rPr>
            <w:noProof/>
            <w:webHidden/>
          </w:rPr>
          <w:fldChar w:fldCharType="separate"/>
        </w:r>
        <w:r w:rsidR="00BF7BED">
          <w:rPr>
            <w:noProof/>
            <w:webHidden/>
          </w:rPr>
          <w:t>5</w:t>
        </w:r>
        <w:r w:rsidR="00BF7BED">
          <w:rPr>
            <w:noProof/>
            <w:webHidden/>
          </w:rPr>
          <w:fldChar w:fldCharType="end"/>
        </w:r>
      </w:hyperlink>
    </w:p>
    <w:p w14:paraId="68665FFD" w14:textId="5861716A" w:rsidR="00BF7BED" w:rsidRDefault="0010735B">
      <w:pPr>
        <w:pStyle w:val="TOC1"/>
        <w:rPr>
          <w:rFonts w:asciiTheme="minorHAnsi" w:eastAsiaTheme="minorEastAsia" w:hAnsiTheme="minorHAnsi" w:cstheme="minorBidi"/>
          <w:noProof/>
          <w:sz w:val="22"/>
          <w:szCs w:val="22"/>
        </w:rPr>
      </w:pPr>
      <w:hyperlink w:anchor="_Toc38875943" w:history="1">
        <w:r w:rsidR="00BF7BED" w:rsidRPr="00B12458">
          <w:rPr>
            <w:rStyle w:val="Hyperlink"/>
            <w:rFonts w:ascii="Arial" w:hAnsi="Arial" w:cs="Arial"/>
            <w:noProof/>
          </w:rPr>
          <w:t>CAPITAL MANAGEMENT</w:t>
        </w:r>
        <w:r w:rsidR="00BF7BED">
          <w:rPr>
            <w:noProof/>
            <w:webHidden/>
          </w:rPr>
          <w:tab/>
        </w:r>
        <w:r w:rsidR="00BF7BED">
          <w:rPr>
            <w:noProof/>
            <w:webHidden/>
          </w:rPr>
          <w:fldChar w:fldCharType="begin"/>
        </w:r>
        <w:r w:rsidR="00BF7BED">
          <w:rPr>
            <w:noProof/>
            <w:webHidden/>
          </w:rPr>
          <w:instrText xml:space="preserve"> PAGEREF _Toc38875943 \h </w:instrText>
        </w:r>
        <w:r w:rsidR="00BF7BED">
          <w:rPr>
            <w:noProof/>
            <w:webHidden/>
          </w:rPr>
        </w:r>
        <w:r w:rsidR="00BF7BED">
          <w:rPr>
            <w:noProof/>
            <w:webHidden/>
          </w:rPr>
          <w:fldChar w:fldCharType="separate"/>
        </w:r>
        <w:r w:rsidR="00BF7BED">
          <w:rPr>
            <w:noProof/>
            <w:webHidden/>
          </w:rPr>
          <w:t>5</w:t>
        </w:r>
        <w:r w:rsidR="00BF7BED">
          <w:rPr>
            <w:noProof/>
            <w:webHidden/>
          </w:rPr>
          <w:fldChar w:fldCharType="end"/>
        </w:r>
      </w:hyperlink>
    </w:p>
    <w:p w14:paraId="3A7D52AA" w14:textId="0503676D" w:rsidR="00BF7BED" w:rsidRDefault="0010735B">
      <w:pPr>
        <w:pStyle w:val="TOC2"/>
        <w:rPr>
          <w:rFonts w:asciiTheme="minorHAnsi" w:eastAsiaTheme="minorEastAsia" w:hAnsiTheme="minorHAnsi" w:cstheme="minorBidi"/>
          <w:noProof/>
          <w:sz w:val="22"/>
          <w:szCs w:val="22"/>
        </w:rPr>
      </w:pPr>
      <w:hyperlink w:anchor="_Toc38875944" w:history="1">
        <w:r w:rsidR="00BF7BED" w:rsidRPr="00B12458">
          <w:rPr>
            <w:rStyle w:val="Hyperlink"/>
            <w:rFonts w:ascii="Arial" w:hAnsi="Arial" w:cs="Arial"/>
            <w:noProof/>
          </w:rPr>
          <w:t>Regulatory Capital Position</w:t>
        </w:r>
        <w:r w:rsidR="00BF7BED">
          <w:rPr>
            <w:noProof/>
            <w:webHidden/>
          </w:rPr>
          <w:tab/>
        </w:r>
        <w:r w:rsidR="00BF7BED">
          <w:rPr>
            <w:noProof/>
            <w:webHidden/>
          </w:rPr>
          <w:fldChar w:fldCharType="begin"/>
        </w:r>
        <w:r w:rsidR="00BF7BED">
          <w:rPr>
            <w:noProof/>
            <w:webHidden/>
          </w:rPr>
          <w:instrText xml:space="preserve"> PAGEREF _Toc38875944 \h </w:instrText>
        </w:r>
        <w:r w:rsidR="00BF7BED">
          <w:rPr>
            <w:noProof/>
            <w:webHidden/>
          </w:rPr>
        </w:r>
        <w:r w:rsidR="00BF7BED">
          <w:rPr>
            <w:noProof/>
            <w:webHidden/>
          </w:rPr>
          <w:fldChar w:fldCharType="separate"/>
        </w:r>
        <w:r w:rsidR="00BF7BED">
          <w:rPr>
            <w:noProof/>
            <w:webHidden/>
          </w:rPr>
          <w:t>6</w:t>
        </w:r>
        <w:r w:rsidR="00BF7BED">
          <w:rPr>
            <w:noProof/>
            <w:webHidden/>
          </w:rPr>
          <w:fldChar w:fldCharType="end"/>
        </w:r>
      </w:hyperlink>
    </w:p>
    <w:p w14:paraId="74D910DB" w14:textId="62EFF538" w:rsidR="00BF7BED" w:rsidRDefault="0010735B">
      <w:pPr>
        <w:pStyle w:val="TOC1"/>
        <w:rPr>
          <w:rFonts w:asciiTheme="minorHAnsi" w:eastAsiaTheme="minorEastAsia" w:hAnsiTheme="minorHAnsi" w:cstheme="minorBidi"/>
          <w:noProof/>
          <w:sz w:val="22"/>
          <w:szCs w:val="22"/>
        </w:rPr>
      </w:pPr>
      <w:hyperlink w:anchor="_Toc38875945" w:history="1">
        <w:r w:rsidR="00BF7BED" w:rsidRPr="00B12458">
          <w:rPr>
            <w:rStyle w:val="Hyperlink"/>
            <w:rFonts w:ascii="Arial" w:hAnsi="Arial" w:cs="Arial"/>
            <w:noProof/>
          </w:rPr>
          <w:t>APPENDIX A</w:t>
        </w:r>
        <w:r w:rsidR="00BF7BED">
          <w:rPr>
            <w:noProof/>
            <w:webHidden/>
          </w:rPr>
          <w:tab/>
        </w:r>
        <w:r w:rsidR="00BF7BED">
          <w:rPr>
            <w:noProof/>
            <w:webHidden/>
          </w:rPr>
          <w:fldChar w:fldCharType="begin"/>
        </w:r>
        <w:r w:rsidR="00BF7BED">
          <w:rPr>
            <w:noProof/>
            <w:webHidden/>
          </w:rPr>
          <w:instrText xml:space="preserve"> PAGEREF _Toc38875945 \h </w:instrText>
        </w:r>
        <w:r w:rsidR="00BF7BED">
          <w:rPr>
            <w:noProof/>
            <w:webHidden/>
          </w:rPr>
        </w:r>
        <w:r w:rsidR="00BF7BED">
          <w:rPr>
            <w:noProof/>
            <w:webHidden/>
          </w:rPr>
          <w:fldChar w:fldCharType="separate"/>
        </w:r>
        <w:r w:rsidR="00BF7BED">
          <w:rPr>
            <w:noProof/>
            <w:webHidden/>
          </w:rPr>
          <w:t>7</w:t>
        </w:r>
        <w:r w:rsidR="00BF7BED">
          <w:rPr>
            <w:noProof/>
            <w:webHidden/>
          </w:rPr>
          <w:fldChar w:fldCharType="end"/>
        </w:r>
      </w:hyperlink>
    </w:p>
    <w:p w14:paraId="46689E3D" w14:textId="1F0CBDC2" w:rsidR="00BF7BED" w:rsidRDefault="0010735B">
      <w:pPr>
        <w:pStyle w:val="TOC2"/>
        <w:rPr>
          <w:rFonts w:asciiTheme="minorHAnsi" w:eastAsiaTheme="minorEastAsia" w:hAnsiTheme="minorHAnsi" w:cstheme="minorBidi"/>
          <w:noProof/>
          <w:sz w:val="22"/>
          <w:szCs w:val="22"/>
        </w:rPr>
      </w:pPr>
      <w:hyperlink w:anchor="_Toc38875946" w:history="1">
        <w:r w:rsidR="00BF7BED" w:rsidRPr="00B12458">
          <w:rPr>
            <w:rStyle w:val="Hyperlink"/>
            <w:rFonts w:ascii="Arial" w:hAnsi="Arial" w:cs="Arial"/>
            <w:noProof/>
          </w:rPr>
          <w:t>BASEL III COMMON DISCLOSURES</w:t>
        </w:r>
        <w:r w:rsidR="00BF7BED">
          <w:rPr>
            <w:noProof/>
            <w:webHidden/>
          </w:rPr>
          <w:tab/>
        </w:r>
        <w:r w:rsidR="00BF7BED">
          <w:rPr>
            <w:noProof/>
            <w:webHidden/>
          </w:rPr>
          <w:fldChar w:fldCharType="begin"/>
        </w:r>
        <w:r w:rsidR="00BF7BED">
          <w:rPr>
            <w:noProof/>
            <w:webHidden/>
          </w:rPr>
          <w:instrText xml:space="preserve"> PAGEREF _Toc38875946 \h </w:instrText>
        </w:r>
        <w:r w:rsidR="00BF7BED">
          <w:rPr>
            <w:noProof/>
            <w:webHidden/>
          </w:rPr>
        </w:r>
        <w:r w:rsidR="00BF7BED">
          <w:rPr>
            <w:noProof/>
            <w:webHidden/>
          </w:rPr>
          <w:fldChar w:fldCharType="separate"/>
        </w:r>
        <w:r w:rsidR="00BF7BED">
          <w:rPr>
            <w:noProof/>
            <w:webHidden/>
          </w:rPr>
          <w:t>7</w:t>
        </w:r>
        <w:r w:rsidR="00BF7BED">
          <w:rPr>
            <w:noProof/>
            <w:webHidden/>
          </w:rPr>
          <w:fldChar w:fldCharType="end"/>
        </w:r>
      </w:hyperlink>
    </w:p>
    <w:p w14:paraId="368B6D97" w14:textId="7F88ABB5" w:rsidR="00BF7BED" w:rsidRDefault="0010735B">
      <w:pPr>
        <w:pStyle w:val="TOC1"/>
        <w:rPr>
          <w:rFonts w:asciiTheme="minorHAnsi" w:eastAsiaTheme="minorEastAsia" w:hAnsiTheme="minorHAnsi" w:cstheme="minorBidi"/>
          <w:noProof/>
          <w:sz w:val="22"/>
          <w:szCs w:val="22"/>
        </w:rPr>
      </w:pPr>
      <w:hyperlink w:anchor="_Toc38875947" w:history="1">
        <w:r w:rsidR="00BF7BED" w:rsidRPr="00B12458">
          <w:rPr>
            <w:rStyle w:val="Hyperlink"/>
            <w:rFonts w:ascii="Arial" w:hAnsi="Arial" w:cs="Arial"/>
            <w:noProof/>
          </w:rPr>
          <w:t>APPENDIX B: CREDIT RISK</w:t>
        </w:r>
        <w:r w:rsidR="00BF7BED">
          <w:rPr>
            <w:noProof/>
            <w:webHidden/>
          </w:rPr>
          <w:tab/>
        </w:r>
        <w:r w:rsidR="00BF7BED">
          <w:rPr>
            <w:noProof/>
            <w:webHidden/>
          </w:rPr>
          <w:fldChar w:fldCharType="begin"/>
        </w:r>
        <w:r w:rsidR="00BF7BED">
          <w:rPr>
            <w:noProof/>
            <w:webHidden/>
          </w:rPr>
          <w:instrText xml:space="preserve"> PAGEREF _Toc38875947 \h </w:instrText>
        </w:r>
        <w:r w:rsidR="00BF7BED">
          <w:rPr>
            <w:noProof/>
            <w:webHidden/>
          </w:rPr>
        </w:r>
        <w:r w:rsidR="00BF7BED">
          <w:rPr>
            <w:noProof/>
            <w:webHidden/>
          </w:rPr>
          <w:fldChar w:fldCharType="separate"/>
        </w:r>
        <w:r w:rsidR="00BF7BED">
          <w:rPr>
            <w:noProof/>
            <w:webHidden/>
          </w:rPr>
          <w:t>9</w:t>
        </w:r>
        <w:r w:rsidR="00BF7BED">
          <w:rPr>
            <w:noProof/>
            <w:webHidden/>
          </w:rPr>
          <w:fldChar w:fldCharType="end"/>
        </w:r>
      </w:hyperlink>
    </w:p>
    <w:p w14:paraId="1DF8151F" w14:textId="00C61DC9" w:rsidR="00BF7BED" w:rsidRDefault="0010735B">
      <w:pPr>
        <w:pStyle w:val="TOC2"/>
        <w:rPr>
          <w:rFonts w:asciiTheme="minorHAnsi" w:eastAsiaTheme="minorEastAsia" w:hAnsiTheme="minorHAnsi" w:cstheme="minorBidi"/>
          <w:noProof/>
          <w:sz w:val="22"/>
          <w:szCs w:val="22"/>
        </w:rPr>
      </w:pPr>
      <w:hyperlink w:anchor="_Toc38875948" w:history="1">
        <w:r w:rsidR="00BF7BED" w:rsidRPr="00B12458">
          <w:rPr>
            <w:rStyle w:val="Hyperlink"/>
            <w:rFonts w:ascii="Arial" w:hAnsi="Arial" w:cs="Arial"/>
            <w:noProof/>
          </w:rPr>
          <w:t>GENERAL AND QUANTITATIVE DISCLOSURES</w:t>
        </w:r>
        <w:r w:rsidR="00BF7BED">
          <w:rPr>
            <w:noProof/>
            <w:webHidden/>
          </w:rPr>
          <w:tab/>
        </w:r>
        <w:r w:rsidR="00BF7BED">
          <w:rPr>
            <w:noProof/>
            <w:webHidden/>
          </w:rPr>
          <w:fldChar w:fldCharType="begin"/>
        </w:r>
        <w:r w:rsidR="00BF7BED">
          <w:rPr>
            <w:noProof/>
            <w:webHidden/>
          </w:rPr>
          <w:instrText xml:space="preserve"> PAGEREF _Toc38875948 \h </w:instrText>
        </w:r>
        <w:r w:rsidR="00BF7BED">
          <w:rPr>
            <w:noProof/>
            <w:webHidden/>
          </w:rPr>
        </w:r>
        <w:r w:rsidR="00BF7BED">
          <w:rPr>
            <w:noProof/>
            <w:webHidden/>
          </w:rPr>
          <w:fldChar w:fldCharType="separate"/>
        </w:r>
        <w:r w:rsidR="00BF7BED">
          <w:rPr>
            <w:noProof/>
            <w:webHidden/>
          </w:rPr>
          <w:t>9</w:t>
        </w:r>
        <w:r w:rsidR="00BF7BED">
          <w:rPr>
            <w:noProof/>
            <w:webHidden/>
          </w:rPr>
          <w:fldChar w:fldCharType="end"/>
        </w:r>
      </w:hyperlink>
    </w:p>
    <w:p w14:paraId="514F02E1" w14:textId="5243CCD9" w:rsidR="00BF7BED" w:rsidRDefault="0010735B">
      <w:pPr>
        <w:pStyle w:val="TOC2"/>
        <w:rPr>
          <w:rFonts w:asciiTheme="minorHAnsi" w:eastAsiaTheme="minorEastAsia" w:hAnsiTheme="minorHAnsi" w:cstheme="minorBidi"/>
          <w:noProof/>
          <w:sz w:val="22"/>
          <w:szCs w:val="22"/>
        </w:rPr>
      </w:pPr>
      <w:hyperlink w:anchor="_Toc38875949" w:history="1">
        <w:r w:rsidR="00BF7BED" w:rsidRPr="00B12458">
          <w:rPr>
            <w:rStyle w:val="Hyperlink"/>
            <w:rFonts w:ascii="Arial" w:hAnsi="Arial" w:cs="Arial"/>
            <w:noProof/>
          </w:rPr>
          <w:t>ALLOWANCE FOR CREDIT LOSSES</w:t>
        </w:r>
        <w:r w:rsidR="00BF7BED">
          <w:rPr>
            <w:noProof/>
            <w:webHidden/>
          </w:rPr>
          <w:tab/>
        </w:r>
        <w:r w:rsidR="00BF7BED">
          <w:rPr>
            <w:noProof/>
            <w:webHidden/>
          </w:rPr>
          <w:fldChar w:fldCharType="begin"/>
        </w:r>
        <w:r w:rsidR="00BF7BED">
          <w:rPr>
            <w:noProof/>
            <w:webHidden/>
          </w:rPr>
          <w:instrText xml:space="preserve"> PAGEREF _Toc38875949 \h </w:instrText>
        </w:r>
        <w:r w:rsidR="00BF7BED">
          <w:rPr>
            <w:noProof/>
            <w:webHidden/>
          </w:rPr>
        </w:r>
        <w:r w:rsidR="00BF7BED">
          <w:rPr>
            <w:noProof/>
            <w:webHidden/>
          </w:rPr>
          <w:fldChar w:fldCharType="separate"/>
        </w:r>
        <w:r w:rsidR="00BF7BED">
          <w:rPr>
            <w:noProof/>
            <w:webHidden/>
          </w:rPr>
          <w:t>11</w:t>
        </w:r>
        <w:r w:rsidR="00BF7BED">
          <w:rPr>
            <w:noProof/>
            <w:webHidden/>
          </w:rPr>
          <w:fldChar w:fldCharType="end"/>
        </w:r>
      </w:hyperlink>
    </w:p>
    <w:p w14:paraId="5F2E498D" w14:textId="44461BC6" w:rsidR="00BF7BED" w:rsidRDefault="0010735B">
      <w:pPr>
        <w:pStyle w:val="TOC2"/>
        <w:rPr>
          <w:rFonts w:asciiTheme="minorHAnsi" w:eastAsiaTheme="minorEastAsia" w:hAnsiTheme="minorHAnsi" w:cstheme="minorBidi"/>
          <w:noProof/>
          <w:sz w:val="22"/>
          <w:szCs w:val="22"/>
        </w:rPr>
      </w:pPr>
      <w:hyperlink w:anchor="_Toc38875950" w:history="1">
        <w:r w:rsidR="00BF7BED" w:rsidRPr="00B12458">
          <w:rPr>
            <w:rStyle w:val="Hyperlink"/>
            <w:rFonts w:ascii="Arial" w:hAnsi="Arial" w:cs="Arial"/>
            <w:noProof/>
          </w:rPr>
          <w:t>DISCLOSURES FOR PORTFOLIOS SUBJECT TO THE STANDARDIZED APPROACH</w:t>
        </w:r>
        <w:r w:rsidR="00BF7BED">
          <w:rPr>
            <w:noProof/>
            <w:webHidden/>
          </w:rPr>
          <w:tab/>
        </w:r>
        <w:r w:rsidR="00BF7BED">
          <w:rPr>
            <w:noProof/>
            <w:webHidden/>
          </w:rPr>
          <w:fldChar w:fldCharType="begin"/>
        </w:r>
        <w:r w:rsidR="00BF7BED">
          <w:rPr>
            <w:noProof/>
            <w:webHidden/>
          </w:rPr>
          <w:instrText xml:space="preserve"> PAGEREF _Toc38875950 \h </w:instrText>
        </w:r>
        <w:r w:rsidR="00BF7BED">
          <w:rPr>
            <w:noProof/>
            <w:webHidden/>
          </w:rPr>
        </w:r>
        <w:r w:rsidR="00BF7BED">
          <w:rPr>
            <w:noProof/>
            <w:webHidden/>
          </w:rPr>
          <w:fldChar w:fldCharType="separate"/>
        </w:r>
        <w:r w:rsidR="00BF7BED">
          <w:rPr>
            <w:noProof/>
            <w:webHidden/>
          </w:rPr>
          <w:t>12</w:t>
        </w:r>
        <w:r w:rsidR="00BF7BED">
          <w:rPr>
            <w:noProof/>
            <w:webHidden/>
          </w:rPr>
          <w:fldChar w:fldCharType="end"/>
        </w:r>
      </w:hyperlink>
    </w:p>
    <w:p w14:paraId="0DC8A1EF" w14:textId="5AA54527" w:rsidR="00BF7BED" w:rsidRDefault="0010735B">
      <w:pPr>
        <w:pStyle w:val="TOC2"/>
        <w:rPr>
          <w:rFonts w:asciiTheme="minorHAnsi" w:eastAsiaTheme="minorEastAsia" w:hAnsiTheme="minorHAnsi" w:cstheme="minorBidi"/>
          <w:noProof/>
          <w:sz w:val="22"/>
          <w:szCs w:val="22"/>
        </w:rPr>
      </w:pPr>
      <w:hyperlink w:anchor="_Toc38875951" w:history="1">
        <w:r w:rsidR="00BF7BED" w:rsidRPr="00B12458">
          <w:rPr>
            <w:rStyle w:val="Hyperlink"/>
            <w:rFonts w:ascii="Arial" w:hAnsi="Arial" w:cs="Arial"/>
            <w:noProof/>
          </w:rPr>
          <w:t>DISCLOSURES FOR PORTFOLIOS SUBJECT TO IRB APPROACHES</w:t>
        </w:r>
        <w:r w:rsidR="00BF7BED">
          <w:rPr>
            <w:noProof/>
            <w:webHidden/>
          </w:rPr>
          <w:tab/>
        </w:r>
        <w:r w:rsidR="00BF7BED">
          <w:rPr>
            <w:noProof/>
            <w:webHidden/>
          </w:rPr>
          <w:fldChar w:fldCharType="begin"/>
        </w:r>
        <w:r w:rsidR="00BF7BED">
          <w:rPr>
            <w:noProof/>
            <w:webHidden/>
          </w:rPr>
          <w:instrText xml:space="preserve"> PAGEREF _Toc38875951 \h </w:instrText>
        </w:r>
        <w:r w:rsidR="00BF7BED">
          <w:rPr>
            <w:noProof/>
            <w:webHidden/>
          </w:rPr>
        </w:r>
        <w:r w:rsidR="00BF7BED">
          <w:rPr>
            <w:noProof/>
            <w:webHidden/>
          </w:rPr>
          <w:fldChar w:fldCharType="separate"/>
        </w:r>
        <w:r w:rsidR="00BF7BED">
          <w:rPr>
            <w:noProof/>
            <w:webHidden/>
          </w:rPr>
          <w:t>12</w:t>
        </w:r>
        <w:r w:rsidR="00BF7BED">
          <w:rPr>
            <w:noProof/>
            <w:webHidden/>
          </w:rPr>
          <w:fldChar w:fldCharType="end"/>
        </w:r>
      </w:hyperlink>
    </w:p>
    <w:p w14:paraId="64F8FD07" w14:textId="55615F81" w:rsidR="00BF7BED" w:rsidRDefault="0010735B">
      <w:pPr>
        <w:pStyle w:val="TOC2"/>
        <w:rPr>
          <w:rFonts w:asciiTheme="minorHAnsi" w:eastAsiaTheme="minorEastAsia" w:hAnsiTheme="minorHAnsi" w:cstheme="minorBidi"/>
          <w:noProof/>
          <w:sz w:val="22"/>
          <w:szCs w:val="22"/>
        </w:rPr>
      </w:pPr>
      <w:hyperlink w:anchor="_Toc38875952" w:history="1">
        <w:r w:rsidR="00BF7BED" w:rsidRPr="00B12458">
          <w:rPr>
            <w:rStyle w:val="Hyperlink"/>
            <w:rFonts w:ascii="Arial" w:hAnsi="Arial" w:cs="Arial"/>
            <w:noProof/>
          </w:rPr>
          <w:t>CREDIT RISK MITIGATION</w:t>
        </w:r>
        <w:r w:rsidR="00BF7BED">
          <w:rPr>
            <w:noProof/>
            <w:webHidden/>
          </w:rPr>
          <w:tab/>
        </w:r>
        <w:r w:rsidR="00BF7BED">
          <w:rPr>
            <w:noProof/>
            <w:webHidden/>
          </w:rPr>
          <w:fldChar w:fldCharType="begin"/>
        </w:r>
        <w:r w:rsidR="00BF7BED">
          <w:rPr>
            <w:noProof/>
            <w:webHidden/>
          </w:rPr>
          <w:instrText xml:space="preserve"> PAGEREF _Toc38875952 \h </w:instrText>
        </w:r>
        <w:r w:rsidR="00BF7BED">
          <w:rPr>
            <w:noProof/>
            <w:webHidden/>
          </w:rPr>
        </w:r>
        <w:r w:rsidR="00BF7BED">
          <w:rPr>
            <w:noProof/>
            <w:webHidden/>
          </w:rPr>
          <w:fldChar w:fldCharType="separate"/>
        </w:r>
        <w:r w:rsidR="00BF7BED">
          <w:rPr>
            <w:noProof/>
            <w:webHidden/>
          </w:rPr>
          <w:t>12</w:t>
        </w:r>
        <w:r w:rsidR="00BF7BED">
          <w:rPr>
            <w:noProof/>
            <w:webHidden/>
          </w:rPr>
          <w:fldChar w:fldCharType="end"/>
        </w:r>
      </w:hyperlink>
    </w:p>
    <w:p w14:paraId="3F0FE004" w14:textId="3F272BA2" w:rsidR="00BF7BED" w:rsidRDefault="0010735B">
      <w:pPr>
        <w:pStyle w:val="TOC2"/>
        <w:rPr>
          <w:rFonts w:asciiTheme="minorHAnsi" w:eastAsiaTheme="minorEastAsia" w:hAnsiTheme="minorHAnsi" w:cstheme="minorBidi"/>
          <w:noProof/>
          <w:sz w:val="22"/>
          <w:szCs w:val="22"/>
        </w:rPr>
      </w:pPr>
      <w:hyperlink w:anchor="_Toc38875953" w:history="1">
        <w:r w:rsidR="00BF7BED" w:rsidRPr="00B12458">
          <w:rPr>
            <w:rStyle w:val="Hyperlink"/>
            <w:rFonts w:ascii="Arial" w:hAnsi="Arial" w:cs="Arial"/>
            <w:noProof/>
          </w:rPr>
          <w:t>GENERAL DISCLOSURE FOR EXPOSURES RELATED TO COUNTERPARTY CREDIT RISK</w:t>
        </w:r>
        <w:r w:rsidR="00BF7BED">
          <w:rPr>
            <w:noProof/>
            <w:webHidden/>
          </w:rPr>
          <w:tab/>
        </w:r>
        <w:r w:rsidR="00BF7BED">
          <w:rPr>
            <w:noProof/>
            <w:webHidden/>
          </w:rPr>
          <w:fldChar w:fldCharType="begin"/>
        </w:r>
        <w:r w:rsidR="00BF7BED">
          <w:rPr>
            <w:noProof/>
            <w:webHidden/>
          </w:rPr>
          <w:instrText xml:space="preserve"> PAGEREF _Toc38875953 \h </w:instrText>
        </w:r>
        <w:r w:rsidR="00BF7BED">
          <w:rPr>
            <w:noProof/>
            <w:webHidden/>
          </w:rPr>
        </w:r>
        <w:r w:rsidR="00BF7BED">
          <w:rPr>
            <w:noProof/>
            <w:webHidden/>
          </w:rPr>
          <w:fldChar w:fldCharType="separate"/>
        </w:r>
        <w:r w:rsidR="00BF7BED">
          <w:rPr>
            <w:noProof/>
            <w:webHidden/>
          </w:rPr>
          <w:t>12</w:t>
        </w:r>
        <w:r w:rsidR="00BF7BED">
          <w:rPr>
            <w:noProof/>
            <w:webHidden/>
          </w:rPr>
          <w:fldChar w:fldCharType="end"/>
        </w:r>
      </w:hyperlink>
    </w:p>
    <w:p w14:paraId="5F11D790" w14:textId="68A98790" w:rsidR="00BF7BED" w:rsidRDefault="0010735B">
      <w:pPr>
        <w:pStyle w:val="TOC2"/>
        <w:rPr>
          <w:rFonts w:asciiTheme="minorHAnsi" w:eastAsiaTheme="minorEastAsia" w:hAnsiTheme="minorHAnsi" w:cstheme="minorBidi"/>
          <w:noProof/>
          <w:sz w:val="22"/>
          <w:szCs w:val="22"/>
        </w:rPr>
      </w:pPr>
      <w:hyperlink w:anchor="_Toc38875954" w:history="1">
        <w:r w:rsidR="00BF7BED" w:rsidRPr="00B12458">
          <w:rPr>
            <w:rStyle w:val="Hyperlink"/>
            <w:rFonts w:ascii="Arial" w:hAnsi="Arial" w:cs="Arial"/>
            <w:noProof/>
          </w:rPr>
          <w:t>SECURITIZATION: DISCLOSURE FOR STANDARDIZED APPROACH</w:t>
        </w:r>
        <w:r w:rsidR="00BF7BED">
          <w:rPr>
            <w:noProof/>
            <w:webHidden/>
          </w:rPr>
          <w:tab/>
        </w:r>
        <w:r w:rsidR="00BF7BED">
          <w:rPr>
            <w:noProof/>
            <w:webHidden/>
          </w:rPr>
          <w:fldChar w:fldCharType="begin"/>
        </w:r>
        <w:r w:rsidR="00BF7BED">
          <w:rPr>
            <w:noProof/>
            <w:webHidden/>
          </w:rPr>
          <w:instrText xml:space="preserve"> PAGEREF _Toc38875954 \h </w:instrText>
        </w:r>
        <w:r w:rsidR="00BF7BED">
          <w:rPr>
            <w:noProof/>
            <w:webHidden/>
          </w:rPr>
        </w:r>
        <w:r w:rsidR="00BF7BED">
          <w:rPr>
            <w:noProof/>
            <w:webHidden/>
          </w:rPr>
          <w:fldChar w:fldCharType="separate"/>
        </w:r>
        <w:r w:rsidR="00BF7BED">
          <w:rPr>
            <w:noProof/>
            <w:webHidden/>
          </w:rPr>
          <w:t>13</w:t>
        </w:r>
        <w:r w:rsidR="00BF7BED">
          <w:rPr>
            <w:noProof/>
            <w:webHidden/>
          </w:rPr>
          <w:fldChar w:fldCharType="end"/>
        </w:r>
      </w:hyperlink>
    </w:p>
    <w:p w14:paraId="4A878E8C" w14:textId="54DFEA83" w:rsidR="00BF7BED" w:rsidRDefault="0010735B">
      <w:pPr>
        <w:pStyle w:val="TOC1"/>
        <w:rPr>
          <w:rFonts w:asciiTheme="minorHAnsi" w:eastAsiaTheme="minorEastAsia" w:hAnsiTheme="minorHAnsi" w:cstheme="minorBidi"/>
          <w:noProof/>
          <w:sz w:val="22"/>
          <w:szCs w:val="22"/>
        </w:rPr>
      </w:pPr>
      <w:hyperlink w:anchor="_Toc38875955" w:history="1">
        <w:r w:rsidR="00BF7BED" w:rsidRPr="00B12458">
          <w:rPr>
            <w:rStyle w:val="Hyperlink"/>
            <w:rFonts w:ascii="Arial" w:hAnsi="Arial" w:cs="Arial"/>
            <w:noProof/>
          </w:rPr>
          <w:t>APPENDIX C: INTEREST RATE RISK</w:t>
        </w:r>
        <w:r w:rsidR="00BF7BED">
          <w:rPr>
            <w:noProof/>
            <w:webHidden/>
          </w:rPr>
          <w:tab/>
        </w:r>
        <w:r w:rsidR="00BF7BED">
          <w:rPr>
            <w:noProof/>
            <w:webHidden/>
          </w:rPr>
          <w:fldChar w:fldCharType="begin"/>
        </w:r>
        <w:r w:rsidR="00BF7BED">
          <w:rPr>
            <w:noProof/>
            <w:webHidden/>
          </w:rPr>
          <w:instrText xml:space="preserve"> PAGEREF _Toc38875955 \h </w:instrText>
        </w:r>
        <w:r w:rsidR="00BF7BED">
          <w:rPr>
            <w:noProof/>
            <w:webHidden/>
          </w:rPr>
        </w:r>
        <w:r w:rsidR="00BF7BED">
          <w:rPr>
            <w:noProof/>
            <w:webHidden/>
          </w:rPr>
          <w:fldChar w:fldCharType="separate"/>
        </w:r>
        <w:r w:rsidR="00BF7BED">
          <w:rPr>
            <w:noProof/>
            <w:webHidden/>
          </w:rPr>
          <w:t>15</w:t>
        </w:r>
        <w:r w:rsidR="00BF7BED">
          <w:rPr>
            <w:noProof/>
            <w:webHidden/>
          </w:rPr>
          <w:fldChar w:fldCharType="end"/>
        </w:r>
      </w:hyperlink>
    </w:p>
    <w:p w14:paraId="4D746587" w14:textId="00AA3454" w:rsidR="00BF7BED" w:rsidRDefault="0010735B">
      <w:pPr>
        <w:pStyle w:val="TOC1"/>
        <w:rPr>
          <w:rFonts w:asciiTheme="minorHAnsi" w:eastAsiaTheme="minorEastAsia" w:hAnsiTheme="minorHAnsi" w:cstheme="minorBidi"/>
          <w:noProof/>
          <w:sz w:val="22"/>
          <w:szCs w:val="22"/>
        </w:rPr>
      </w:pPr>
      <w:hyperlink w:anchor="_Toc38875956" w:history="1">
        <w:r w:rsidR="00BF7BED" w:rsidRPr="00B12458">
          <w:rPr>
            <w:rStyle w:val="Hyperlink"/>
            <w:rFonts w:ascii="Arial" w:hAnsi="Arial" w:cs="Arial"/>
            <w:noProof/>
          </w:rPr>
          <w:t>APPENDIX D: REMUNERATION</w:t>
        </w:r>
        <w:r w:rsidR="00BF7BED">
          <w:rPr>
            <w:noProof/>
            <w:webHidden/>
          </w:rPr>
          <w:tab/>
        </w:r>
        <w:r w:rsidR="00BF7BED">
          <w:rPr>
            <w:noProof/>
            <w:webHidden/>
          </w:rPr>
          <w:fldChar w:fldCharType="begin"/>
        </w:r>
        <w:r w:rsidR="00BF7BED">
          <w:rPr>
            <w:noProof/>
            <w:webHidden/>
          </w:rPr>
          <w:instrText xml:space="preserve"> PAGEREF _Toc38875956 \h </w:instrText>
        </w:r>
        <w:r w:rsidR="00BF7BED">
          <w:rPr>
            <w:noProof/>
            <w:webHidden/>
          </w:rPr>
        </w:r>
        <w:r w:rsidR="00BF7BED">
          <w:rPr>
            <w:noProof/>
            <w:webHidden/>
          </w:rPr>
          <w:fldChar w:fldCharType="separate"/>
        </w:r>
        <w:r w:rsidR="00BF7BED">
          <w:rPr>
            <w:noProof/>
            <w:webHidden/>
          </w:rPr>
          <w:t>16</w:t>
        </w:r>
        <w:r w:rsidR="00BF7BED">
          <w:rPr>
            <w:noProof/>
            <w:webHidden/>
          </w:rPr>
          <w:fldChar w:fldCharType="end"/>
        </w:r>
      </w:hyperlink>
    </w:p>
    <w:p w14:paraId="480C4097" w14:textId="0567CFA0" w:rsidR="002F3395" w:rsidRDefault="002F3395" w:rsidP="00E53226">
      <w:r>
        <w:fldChar w:fldCharType="end"/>
      </w:r>
    </w:p>
    <w:p w14:paraId="1916AD0F" w14:textId="77777777" w:rsidR="00C007DE" w:rsidRPr="00216C30" w:rsidRDefault="00E53226" w:rsidP="00B26F10">
      <w:pPr>
        <w:pStyle w:val="Heading1"/>
        <w:rPr>
          <w:rFonts w:ascii="Arial" w:hAnsi="Arial" w:cs="Arial"/>
        </w:rPr>
      </w:pPr>
      <w:r>
        <w:br w:type="page"/>
      </w:r>
      <w:bookmarkStart w:id="0" w:name="_Toc38875933"/>
      <w:r w:rsidR="00C007DE" w:rsidRPr="00216C30">
        <w:rPr>
          <w:rFonts w:ascii="Arial" w:hAnsi="Arial" w:cs="Arial"/>
        </w:rPr>
        <w:lastRenderedPageBreak/>
        <w:t>DOCUMENT OVERVIEW</w:t>
      </w:r>
      <w:bookmarkEnd w:id="0"/>
      <w:r w:rsidR="00C007DE" w:rsidRPr="00216C30">
        <w:rPr>
          <w:rFonts w:ascii="Arial" w:hAnsi="Arial" w:cs="Arial"/>
        </w:rPr>
        <w:t xml:space="preserve"> </w:t>
      </w:r>
    </w:p>
    <w:p w14:paraId="15F9E7E0" w14:textId="28E14831" w:rsidR="001F418C" w:rsidRPr="00216C30" w:rsidRDefault="002F3395" w:rsidP="006F4CE5">
      <w:pPr>
        <w:rPr>
          <w:rFonts w:ascii="Arial" w:hAnsi="Arial" w:cs="Arial"/>
        </w:rPr>
      </w:pPr>
      <w:r w:rsidRPr="00216C30">
        <w:rPr>
          <w:rFonts w:ascii="Arial" w:hAnsi="Arial" w:cs="Arial"/>
        </w:rPr>
        <w:t xml:space="preserve">This document represents the Pillar 3 disclosures for </w:t>
      </w:r>
      <w:r w:rsidR="00D47787" w:rsidRPr="00216C30">
        <w:rPr>
          <w:rFonts w:ascii="Arial" w:hAnsi="Arial" w:cs="Arial"/>
        </w:rPr>
        <w:t>Duo Bank of Canada</w:t>
      </w:r>
      <w:r w:rsidR="00C835D1" w:rsidRPr="00216C30">
        <w:rPr>
          <w:rFonts w:ascii="Arial" w:hAnsi="Arial" w:cs="Arial"/>
        </w:rPr>
        <w:t xml:space="preserve"> </w:t>
      </w:r>
      <w:r w:rsidR="00C007DE" w:rsidRPr="00216C30">
        <w:rPr>
          <w:rFonts w:ascii="Arial" w:hAnsi="Arial" w:cs="Arial"/>
        </w:rPr>
        <w:t>(the "Bank")</w:t>
      </w:r>
      <w:r w:rsidR="00527ABF" w:rsidRPr="00216C30">
        <w:rPr>
          <w:rFonts w:ascii="Arial" w:hAnsi="Arial" w:cs="Arial"/>
        </w:rPr>
        <w:t xml:space="preserve"> as at </w:t>
      </w:r>
      <w:r w:rsidR="001A165C">
        <w:rPr>
          <w:rFonts w:ascii="Arial" w:hAnsi="Arial" w:cs="Arial"/>
        </w:rPr>
        <w:t>December</w:t>
      </w:r>
      <w:r w:rsidR="00B91B24" w:rsidRPr="00216C30">
        <w:rPr>
          <w:rFonts w:ascii="Arial" w:hAnsi="Arial" w:cs="Arial"/>
        </w:rPr>
        <w:t xml:space="preserve"> 3</w:t>
      </w:r>
      <w:r w:rsidR="001A165C">
        <w:rPr>
          <w:rFonts w:ascii="Arial" w:hAnsi="Arial" w:cs="Arial"/>
        </w:rPr>
        <w:t>1</w:t>
      </w:r>
      <w:r w:rsidR="00B91B24" w:rsidRPr="00216C30">
        <w:rPr>
          <w:rFonts w:ascii="Arial" w:hAnsi="Arial" w:cs="Arial"/>
        </w:rPr>
        <w:t>, 2019</w:t>
      </w:r>
      <w:r w:rsidRPr="00216C30">
        <w:rPr>
          <w:rFonts w:ascii="Arial" w:hAnsi="Arial" w:cs="Arial"/>
        </w:rPr>
        <w:t xml:space="preserve"> pursuant to OSFI’s Pillar 3 Disclosure Requirements</w:t>
      </w:r>
      <w:r w:rsidR="00C007DE" w:rsidRPr="00216C30">
        <w:rPr>
          <w:rFonts w:ascii="Arial" w:hAnsi="Arial" w:cs="Arial"/>
        </w:rPr>
        <w:t xml:space="preserve">.  </w:t>
      </w:r>
      <w:r w:rsidRPr="00216C30">
        <w:rPr>
          <w:rFonts w:ascii="Arial" w:hAnsi="Arial" w:cs="Arial"/>
        </w:rPr>
        <w:t>This report i</w:t>
      </w:r>
      <w:r w:rsidR="00F67855" w:rsidRPr="00216C30">
        <w:rPr>
          <w:rFonts w:ascii="Arial" w:hAnsi="Arial" w:cs="Arial"/>
        </w:rPr>
        <w:t>s unaudited an</w:t>
      </w:r>
      <w:r w:rsidR="007C19B8" w:rsidRPr="00216C30">
        <w:rPr>
          <w:rFonts w:ascii="Arial" w:hAnsi="Arial" w:cs="Arial"/>
        </w:rPr>
        <w:t>d is reported in t</w:t>
      </w:r>
      <w:r w:rsidRPr="00216C30">
        <w:rPr>
          <w:rFonts w:ascii="Arial" w:hAnsi="Arial" w:cs="Arial"/>
        </w:rPr>
        <w:t>housands of Canadian Dollars, unless otherwise disclosed.</w:t>
      </w:r>
      <w:r w:rsidR="00C007DE" w:rsidRPr="00216C30">
        <w:rPr>
          <w:rFonts w:ascii="Arial" w:hAnsi="Arial" w:cs="Arial"/>
        </w:rPr>
        <w:t xml:space="preserve"> </w:t>
      </w:r>
    </w:p>
    <w:p w14:paraId="2F414488" w14:textId="77777777" w:rsidR="001F418C" w:rsidRPr="00216C30" w:rsidRDefault="001F418C" w:rsidP="003E0C7F">
      <w:pPr>
        <w:pStyle w:val="Heading1"/>
        <w:rPr>
          <w:rFonts w:ascii="Arial" w:hAnsi="Arial" w:cs="Arial"/>
        </w:rPr>
      </w:pPr>
      <w:bookmarkStart w:id="1" w:name="_Toc38875934"/>
      <w:bookmarkStart w:id="2" w:name="_Hlk28954904"/>
      <w:r w:rsidRPr="00216C30">
        <w:rPr>
          <w:rFonts w:ascii="Arial" w:hAnsi="Arial" w:cs="Arial"/>
        </w:rPr>
        <w:t>REPORTING ENTITY</w:t>
      </w:r>
      <w:bookmarkEnd w:id="1"/>
      <w:r w:rsidRPr="00216C30">
        <w:rPr>
          <w:rFonts w:ascii="Arial" w:hAnsi="Arial" w:cs="Arial"/>
        </w:rPr>
        <w:t xml:space="preserve"> </w:t>
      </w:r>
    </w:p>
    <w:p w14:paraId="75EEEC2C" w14:textId="77777777" w:rsidR="00697BEC" w:rsidRDefault="00527ABF" w:rsidP="006F4CE5">
      <w:pPr>
        <w:rPr>
          <w:rFonts w:ascii="Arial" w:hAnsi="Arial" w:cs="Arial"/>
        </w:rPr>
      </w:pPr>
      <w:r w:rsidRPr="00216C30">
        <w:rPr>
          <w:rFonts w:ascii="Arial" w:hAnsi="Arial" w:cs="Arial"/>
        </w:rPr>
        <w:t xml:space="preserve">The </w:t>
      </w:r>
      <w:r w:rsidR="001F418C" w:rsidRPr="00216C30">
        <w:rPr>
          <w:rFonts w:ascii="Arial" w:hAnsi="Arial" w:cs="Arial"/>
        </w:rPr>
        <w:t xml:space="preserve">Bank is </w:t>
      </w:r>
      <w:r w:rsidR="003B2025" w:rsidRPr="00216C30">
        <w:rPr>
          <w:rFonts w:ascii="Arial" w:hAnsi="Arial" w:cs="Arial"/>
        </w:rPr>
        <w:t xml:space="preserve">domiciled in Canada and was incorporated as a Schedule I Canadian chartered bank under the Bank Act on July 24, 2009.  </w:t>
      </w:r>
      <w:r w:rsidR="00697BEC" w:rsidRPr="00216C30">
        <w:rPr>
          <w:rFonts w:ascii="Arial" w:hAnsi="Arial" w:cs="Arial"/>
        </w:rPr>
        <w:t>The Bank received orders to commence and carry on business on June 1, 2010</w:t>
      </w:r>
      <w:r w:rsidR="00697BEC">
        <w:rPr>
          <w:rFonts w:ascii="Arial" w:hAnsi="Arial" w:cs="Arial"/>
        </w:rPr>
        <w:t xml:space="preserve"> and launched a Rewards MasterCard at that time</w:t>
      </w:r>
      <w:r w:rsidR="00697BEC" w:rsidRPr="00216C30">
        <w:rPr>
          <w:rFonts w:ascii="Arial" w:hAnsi="Arial" w:cs="Arial"/>
        </w:rPr>
        <w:t xml:space="preserve">. </w:t>
      </w:r>
      <w:r w:rsidR="003B2025" w:rsidRPr="00216C30">
        <w:rPr>
          <w:rFonts w:ascii="Arial" w:hAnsi="Arial" w:cs="Arial"/>
        </w:rPr>
        <w:t xml:space="preserve">The address of the Bank's registered office is 7295 West Credit Ave, Mississauga, Ontario, L5N 5N1.  </w:t>
      </w:r>
    </w:p>
    <w:p w14:paraId="69E73ADC" w14:textId="77777777" w:rsidR="00697BEC" w:rsidRDefault="00697BEC" w:rsidP="006F4CE5">
      <w:pPr>
        <w:rPr>
          <w:rFonts w:ascii="Arial" w:hAnsi="Arial" w:cs="Arial"/>
        </w:rPr>
      </w:pPr>
    </w:p>
    <w:p w14:paraId="66C9F2E5" w14:textId="77777777" w:rsidR="001F418C" w:rsidRPr="00216C30" w:rsidRDefault="003B2025" w:rsidP="006F4CE5">
      <w:pPr>
        <w:rPr>
          <w:rFonts w:ascii="Arial" w:hAnsi="Arial" w:cs="Arial"/>
        </w:rPr>
      </w:pPr>
      <w:r w:rsidRPr="00216C30">
        <w:rPr>
          <w:rFonts w:ascii="Arial" w:hAnsi="Arial" w:cs="Arial"/>
        </w:rPr>
        <w:t xml:space="preserve">Effective April 1, 2019, the Bank is a wholly owned subsidiary of Duo Financial Corporation (the "Parent").  </w:t>
      </w:r>
      <w:r w:rsidR="00697BEC">
        <w:rPr>
          <w:rFonts w:ascii="Arial" w:hAnsi="Arial" w:cs="Arial"/>
        </w:rPr>
        <w:t xml:space="preserve">In September 2019, the Bank launched a broker originated GIC program. These GIC’s are eligible for deposit insurance from Canadian Deposit Insurance Corporation. </w:t>
      </w:r>
      <w:r w:rsidRPr="00216C30">
        <w:rPr>
          <w:rFonts w:ascii="Arial" w:hAnsi="Arial" w:cs="Arial"/>
        </w:rPr>
        <w:t>The Bank is not considered a Domestically Systematically Important Bank (DSIB) by OSFI.</w:t>
      </w:r>
    </w:p>
    <w:p w14:paraId="6C782763" w14:textId="77777777" w:rsidR="001F418C" w:rsidRPr="00216C30" w:rsidRDefault="001F418C" w:rsidP="003E0C7F">
      <w:pPr>
        <w:pStyle w:val="Heading1"/>
        <w:rPr>
          <w:rFonts w:ascii="Arial" w:hAnsi="Arial" w:cs="Arial"/>
        </w:rPr>
      </w:pPr>
      <w:bookmarkStart w:id="3" w:name="_Toc38875935"/>
      <w:bookmarkEnd w:id="2"/>
      <w:r w:rsidRPr="00216C30">
        <w:rPr>
          <w:rFonts w:ascii="Arial" w:hAnsi="Arial" w:cs="Arial"/>
        </w:rPr>
        <w:t>FINANCIAL RISK MANAGEMENT</w:t>
      </w:r>
      <w:bookmarkEnd w:id="3"/>
    </w:p>
    <w:p w14:paraId="588BE5E4" w14:textId="77777777" w:rsidR="00181F5D" w:rsidRPr="00216C30" w:rsidRDefault="001F418C" w:rsidP="006F4CE5">
      <w:pPr>
        <w:rPr>
          <w:rFonts w:ascii="Arial" w:hAnsi="Arial" w:cs="Arial"/>
        </w:rPr>
      </w:pPr>
      <w:r w:rsidRPr="00216C30">
        <w:rPr>
          <w:rFonts w:ascii="Arial" w:hAnsi="Arial" w:cs="Arial"/>
        </w:rPr>
        <w:t xml:space="preserve">The Bank </w:t>
      </w:r>
      <w:r w:rsidR="002C11EF" w:rsidRPr="00216C30">
        <w:rPr>
          <w:rFonts w:ascii="Arial" w:hAnsi="Arial" w:cs="Arial"/>
        </w:rPr>
        <w:t>is exposed to credit risk, interest rate risk, and liquidity risk arising from its operations and use of financial instruments. The Bank does not have any trading book portfolios, and as such, has low exposure overall to market risk.</w:t>
      </w:r>
    </w:p>
    <w:p w14:paraId="09FF4F72" w14:textId="77777777" w:rsidR="00734917" w:rsidRPr="00216C30" w:rsidRDefault="00734917" w:rsidP="006F4CE5">
      <w:pPr>
        <w:rPr>
          <w:rFonts w:ascii="Arial" w:hAnsi="Arial" w:cs="Arial"/>
        </w:rPr>
      </w:pPr>
    </w:p>
    <w:p w14:paraId="2297864F" w14:textId="77777777" w:rsidR="001F418C" w:rsidRPr="00216C30" w:rsidRDefault="001F418C" w:rsidP="003E0C7F">
      <w:pPr>
        <w:pStyle w:val="Heading2"/>
        <w:rPr>
          <w:rFonts w:ascii="Arial" w:hAnsi="Arial" w:cs="Arial"/>
        </w:rPr>
      </w:pPr>
      <w:bookmarkStart w:id="4" w:name="_Toc38875936"/>
      <w:r w:rsidRPr="00216C30">
        <w:rPr>
          <w:rFonts w:ascii="Arial" w:hAnsi="Arial" w:cs="Arial"/>
        </w:rPr>
        <w:t>Risk management framework</w:t>
      </w:r>
      <w:bookmarkEnd w:id="4"/>
    </w:p>
    <w:p w14:paraId="2A083986" w14:textId="77777777" w:rsidR="001F418C" w:rsidRPr="00216C30" w:rsidRDefault="001F418C" w:rsidP="006F4CE5">
      <w:pPr>
        <w:rPr>
          <w:rFonts w:ascii="Arial" w:hAnsi="Arial" w:cs="Arial"/>
        </w:rPr>
      </w:pPr>
      <w:r w:rsidRPr="00216C30">
        <w:rPr>
          <w:rFonts w:ascii="Arial" w:hAnsi="Arial" w:cs="Arial"/>
        </w:rPr>
        <w:t>The Board of Directors (the "Board") has oversight responsibility for the Bank's risk management framework.  The Bank has established the Asset and Liability Committee ("ALCO"), Credit Risk Committee ("CRC") and Senior Management Committee.  These committees are responsible for developing and monitoring the Bank's risk management policies in their specific management areas and report to the Board regularly.  The Conduct Review Committee and Audit Committee are additional Board committees that report to the Board.</w:t>
      </w:r>
    </w:p>
    <w:p w14:paraId="1893A5B2" w14:textId="77777777" w:rsidR="001F418C" w:rsidRPr="00216C30" w:rsidRDefault="001F418C" w:rsidP="006F4CE5">
      <w:pPr>
        <w:rPr>
          <w:rFonts w:ascii="Arial" w:hAnsi="Arial" w:cs="Arial"/>
        </w:rPr>
      </w:pPr>
    </w:p>
    <w:p w14:paraId="7348533C" w14:textId="77777777" w:rsidR="001F418C" w:rsidRPr="00216C30" w:rsidRDefault="001F418C" w:rsidP="006F4CE5">
      <w:pPr>
        <w:rPr>
          <w:rFonts w:ascii="Arial" w:hAnsi="Arial" w:cs="Arial"/>
        </w:rPr>
      </w:pPr>
      <w:r w:rsidRPr="00216C30">
        <w:rPr>
          <w:rFonts w:ascii="Arial" w:hAnsi="Arial" w:cs="Arial"/>
        </w:rPr>
        <w:t xml:space="preserve">The Bank's Board and Management establish risk management policies to identify and define the risks faced by the Bank, sets out appropriate risk limits and controls, and </w:t>
      </w:r>
      <w:r w:rsidR="006F4CE5" w:rsidRPr="00216C30">
        <w:rPr>
          <w:rFonts w:ascii="Arial" w:hAnsi="Arial" w:cs="Arial"/>
        </w:rPr>
        <w:t>establish</w:t>
      </w:r>
      <w:r w:rsidRPr="00216C30">
        <w:rPr>
          <w:rFonts w:ascii="Arial" w:hAnsi="Arial" w:cs="Arial"/>
        </w:rPr>
        <w:t xml:space="preserve"> processes to ensure adherence to these limits.</w:t>
      </w:r>
    </w:p>
    <w:p w14:paraId="38AE2021" w14:textId="77777777" w:rsidR="00734917" w:rsidRPr="00216C30" w:rsidRDefault="00734917" w:rsidP="006F4CE5">
      <w:pPr>
        <w:rPr>
          <w:rFonts w:ascii="Arial" w:hAnsi="Arial" w:cs="Arial"/>
        </w:rPr>
      </w:pPr>
    </w:p>
    <w:p w14:paraId="0B136B3B" w14:textId="77777777" w:rsidR="001F418C" w:rsidRPr="00216C30" w:rsidRDefault="001F418C" w:rsidP="003E0C7F">
      <w:pPr>
        <w:pStyle w:val="Heading2"/>
        <w:rPr>
          <w:rFonts w:ascii="Arial" w:hAnsi="Arial" w:cs="Arial"/>
        </w:rPr>
      </w:pPr>
      <w:bookmarkStart w:id="5" w:name="_Toc38875937"/>
      <w:r w:rsidRPr="00216C30">
        <w:rPr>
          <w:rFonts w:ascii="Arial" w:hAnsi="Arial" w:cs="Arial"/>
        </w:rPr>
        <w:t>Credit risk</w:t>
      </w:r>
      <w:bookmarkEnd w:id="5"/>
    </w:p>
    <w:p w14:paraId="030576BA" w14:textId="77777777" w:rsidR="001F418C" w:rsidRPr="00216C30" w:rsidRDefault="001F418C" w:rsidP="006F4CE5">
      <w:pPr>
        <w:rPr>
          <w:rFonts w:ascii="Arial" w:hAnsi="Arial" w:cs="Arial"/>
        </w:rPr>
      </w:pPr>
      <w:r w:rsidRPr="00216C30">
        <w:rPr>
          <w:rFonts w:ascii="Arial" w:hAnsi="Arial" w:cs="Arial"/>
          <w:color w:val="000000"/>
        </w:rPr>
        <w:t xml:space="preserve">Credit risk </w:t>
      </w:r>
      <w:r w:rsidRPr="00216C30">
        <w:rPr>
          <w:rFonts w:ascii="Arial" w:hAnsi="Arial" w:cs="Arial"/>
        </w:rPr>
        <w:t>is the risk of financial loss to the Bank if a customer or counterparty</w:t>
      </w:r>
      <w:r w:rsidRPr="00216C30">
        <w:rPr>
          <w:rFonts w:ascii="Arial" w:hAnsi="Arial" w:cs="Arial"/>
          <w:color w:val="000000"/>
        </w:rPr>
        <w:t xml:space="preserve"> to a financial instrument</w:t>
      </w:r>
      <w:r w:rsidRPr="00216C30">
        <w:rPr>
          <w:rFonts w:ascii="Arial" w:hAnsi="Arial" w:cs="Arial"/>
        </w:rPr>
        <w:t xml:space="preserve"> fails to meet its contractual obligations.  Credit risk for the Bank arises principally from the Bank's credit card loans to customers.</w:t>
      </w:r>
    </w:p>
    <w:p w14:paraId="03A86B35" w14:textId="77777777" w:rsidR="001F418C" w:rsidRPr="00216C30" w:rsidRDefault="001F418C" w:rsidP="006F4CE5">
      <w:pPr>
        <w:rPr>
          <w:rFonts w:ascii="Arial" w:hAnsi="Arial" w:cs="Arial"/>
        </w:rPr>
      </w:pPr>
    </w:p>
    <w:p w14:paraId="6F25751E" w14:textId="77777777" w:rsidR="001F418C" w:rsidRPr="00216C30" w:rsidRDefault="001F418C" w:rsidP="006F4CE5">
      <w:pPr>
        <w:rPr>
          <w:rFonts w:ascii="Arial" w:hAnsi="Arial" w:cs="Arial"/>
        </w:rPr>
      </w:pPr>
      <w:r w:rsidRPr="00216C30">
        <w:rPr>
          <w:rFonts w:ascii="Arial" w:hAnsi="Arial" w:cs="Arial"/>
        </w:rPr>
        <w:t>The Board is responsible for the oversight of credit risk management.  The CRC, under the oversight of the Board, monitors and approves the credit risk management program.  The CRC supports the Chief Risk Officer and the credit department in the following:</w:t>
      </w:r>
    </w:p>
    <w:p w14:paraId="0B0AFED2" w14:textId="77777777" w:rsidR="001F418C" w:rsidRPr="00216C30" w:rsidRDefault="001F418C" w:rsidP="006F4CE5">
      <w:pPr>
        <w:rPr>
          <w:rFonts w:ascii="Arial" w:hAnsi="Arial" w:cs="Arial"/>
        </w:rPr>
      </w:pPr>
    </w:p>
    <w:p w14:paraId="3FDE7D74" w14:textId="77777777" w:rsidR="001F418C" w:rsidRPr="00216C30" w:rsidRDefault="001F418C" w:rsidP="00E53226">
      <w:pPr>
        <w:rPr>
          <w:rFonts w:ascii="Arial" w:hAnsi="Arial" w:cs="Arial"/>
        </w:rPr>
      </w:pPr>
      <w:r w:rsidRPr="00216C30">
        <w:rPr>
          <w:rFonts w:ascii="Arial" w:hAnsi="Arial" w:cs="Arial"/>
        </w:rPr>
        <w:t>Development and implementation of sound and prudent policies and procedures to effectively manage and control credit risk.  Policies include credit assessment criteria, risk grading and reporting, documentation and compliance for legal, regulatory or statutory requirements.</w:t>
      </w:r>
    </w:p>
    <w:p w14:paraId="557FA9B3" w14:textId="77777777" w:rsidR="001F418C" w:rsidRPr="00216C30" w:rsidRDefault="001F418C" w:rsidP="00E53226">
      <w:pPr>
        <w:rPr>
          <w:rFonts w:ascii="Arial" w:hAnsi="Arial" w:cs="Arial"/>
        </w:rPr>
      </w:pPr>
    </w:p>
    <w:p w14:paraId="1D9E1AB6" w14:textId="77777777" w:rsidR="001F418C" w:rsidRPr="00216C30" w:rsidRDefault="001F418C" w:rsidP="00E53226">
      <w:pPr>
        <w:rPr>
          <w:rFonts w:ascii="Arial" w:hAnsi="Arial" w:cs="Arial"/>
        </w:rPr>
      </w:pPr>
      <w:r w:rsidRPr="00216C30">
        <w:rPr>
          <w:rFonts w:ascii="Arial" w:hAnsi="Arial" w:cs="Arial"/>
        </w:rPr>
        <w:t xml:space="preserve">Development </w:t>
      </w:r>
      <w:r w:rsidR="00B914F8" w:rsidRPr="00216C30">
        <w:rPr>
          <w:rFonts w:ascii="Arial" w:hAnsi="Arial" w:cs="Arial"/>
        </w:rPr>
        <w:t>and implementation</w:t>
      </w:r>
      <w:r w:rsidR="00B344EA" w:rsidRPr="00216C30">
        <w:rPr>
          <w:rFonts w:ascii="Arial" w:hAnsi="Arial" w:cs="Arial"/>
        </w:rPr>
        <w:t xml:space="preserve"> </w:t>
      </w:r>
      <w:r w:rsidRPr="00216C30">
        <w:rPr>
          <w:rFonts w:ascii="Arial" w:hAnsi="Arial" w:cs="Arial"/>
        </w:rPr>
        <w:t>of effective credit granting, account management and collection processes.  Processes include approval authority management, diversification of credit limits, credit risk assessment, credit application evaluation, fraud identification and management, and write</w:t>
      </w:r>
      <w:r w:rsidRPr="00216C30">
        <w:rPr>
          <w:rFonts w:ascii="Arial" w:hAnsi="Arial" w:cs="Arial"/>
        </w:rPr>
        <w:noBreakHyphen/>
        <w:t>offs.</w:t>
      </w:r>
    </w:p>
    <w:p w14:paraId="5573740F" w14:textId="77777777" w:rsidR="001F418C" w:rsidRPr="00216C30" w:rsidRDefault="001E7FB4" w:rsidP="00E53226">
      <w:pPr>
        <w:rPr>
          <w:rFonts w:ascii="Arial" w:hAnsi="Arial" w:cs="Arial"/>
        </w:rPr>
      </w:pPr>
      <w:r w:rsidRPr="00216C30">
        <w:rPr>
          <w:rFonts w:ascii="Arial" w:hAnsi="Arial" w:cs="Arial"/>
        </w:rPr>
        <w:tab/>
      </w:r>
    </w:p>
    <w:p w14:paraId="49384947" w14:textId="77777777" w:rsidR="001F418C" w:rsidRPr="00216C30" w:rsidRDefault="001F418C" w:rsidP="00E53226">
      <w:pPr>
        <w:rPr>
          <w:rFonts w:ascii="Arial" w:hAnsi="Arial" w:cs="Arial"/>
        </w:rPr>
      </w:pPr>
      <w:r w:rsidRPr="00216C30">
        <w:rPr>
          <w:rFonts w:ascii="Arial" w:hAnsi="Arial" w:cs="Arial"/>
        </w:rPr>
        <w:t xml:space="preserve">Development </w:t>
      </w:r>
      <w:r w:rsidR="00B914F8" w:rsidRPr="00216C30">
        <w:rPr>
          <w:rFonts w:ascii="Arial" w:hAnsi="Arial" w:cs="Arial"/>
        </w:rPr>
        <w:t>and implementation</w:t>
      </w:r>
      <w:r w:rsidRPr="00216C30">
        <w:rPr>
          <w:rFonts w:ascii="Arial" w:hAnsi="Arial" w:cs="Arial"/>
        </w:rPr>
        <w:t xml:space="preserve"> of comprehensive procedures to effectively monitor and control the nature, characteristics, and quality of the credit portfolio.  This includes reporting, portfolio characteristic monitoring, concentration reviews, risk grading monitoring, and credit review processes.</w:t>
      </w:r>
    </w:p>
    <w:p w14:paraId="0F5FFCDE" w14:textId="77777777" w:rsidR="00523D3F" w:rsidRPr="00216C30" w:rsidRDefault="00523D3F" w:rsidP="00E53226">
      <w:pPr>
        <w:rPr>
          <w:rFonts w:ascii="Arial" w:hAnsi="Arial" w:cs="Arial"/>
        </w:rPr>
      </w:pPr>
    </w:p>
    <w:p w14:paraId="70747C7B" w14:textId="77777777" w:rsidR="00523D3F" w:rsidRPr="00216C30" w:rsidRDefault="00523D3F" w:rsidP="00E53226">
      <w:pPr>
        <w:rPr>
          <w:rFonts w:ascii="Arial" w:hAnsi="Arial" w:cs="Arial"/>
        </w:rPr>
      </w:pPr>
      <w:r w:rsidRPr="00216C30">
        <w:rPr>
          <w:rFonts w:ascii="Arial" w:hAnsi="Arial" w:cs="Arial"/>
        </w:rPr>
        <w:t xml:space="preserve">Detailed disclosures pertaining to Credit Risk </w:t>
      </w:r>
      <w:proofErr w:type="gramStart"/>
      <w:r w:rsidRPr="00216C30">
        <w:rPr>
          <w:rFonts w:ascii="Arial" w:hAnsi="Arial" w:cs="Arial"/>
        </w:rPr>
        <w:t>are located in</w:t>
      </w:r>
      <w:proofErr w:type="gramEnd"/>
      <w:r w:rsidRPr="00216C30">
        <w:rPr>
          <w:rFonts w:ascii="Arial" w:hAnsi="Arial" w:cs="Arial"/>
        </w:rPr>
        <w:t xml:space="preserve"> Appendix B.</w:t>
      </w:r>
    </w:p>
    <w:p w14:paraId="3FD85E7D" w14:textId="77777777" w:rsidR="002C11EF" w:rsidRPr="00216C30" w:rsidRDefault="002C11EF" w:rsidP="00E53226">
      <w:pPr>
        <w:rPr>
          <w:rFonts w:ascii="Arial" w:hAnsi="Arial" w:cs="Arial"/>
        </w:rPr>
      </w:pPr>
    </w:p>
    <w:p w14:paraId="6AADB926" w14:textId="77777777" w:rsidR="001F418C" w:rsidRPr="00216C30" w:rsidRDefault="001F418C" w:rsidP="003E0C7F">
      <w:pPr>
        <w:pStyle w:val="Heading2"/>
        <w:rPr>
          <w:rFonts w:ascii="Arial" w:hAnsi="Arial" w:cs="Arial"/>
        </w:rPr>
      </w:pPr>
      <w:bookmarkStart w:id="6" w:name="_Toc38875938"/>
      <w:r w:rsidRPr="00216C30">
        <w:rPr>
          <w:rFonts w:ascii="Arial" w:hAnsi="Arial" w:cs="Arial"/>
        </w:rPr>
        <w:t>Market risk</w:t>
      </w:r>
      <w:bookmarkEnd w:id="6"/>
    </w:p>
    <w:p w14:paraId="25A4DB8B" w14:textId="77777777" w:rsidR="002C11EF" w:rsidRPr="00216C30" w:rsidRDefault="002C11EF" w:rsidP="002C11EF">
      <w:pPr>
        <w:rPr>
          <w:rFonts w:ascii="Arial" w:hAnsi="Arial" w:cs="Arial"/>
        </w:rPr>
      </w:pPr>
      <w:r w:rsidRPr="00216C30">
        <w:rPr>
          <w:rFonts w:ascii="Arial" w:hAnsi="Arial" w:cs="Arial"/>
        </w:rPr>
        <w:t>As mentioned above, the Bank does not have any trading book portfolios, and as such, has low exposure overall to market risk.</w:t>
      </w:r>
    </w:p>
    <w:p w14:paraId="40873D30" w14:textId="77777777" w:rsidR="002C11EF" w:rsidRPr="00216C30" w:rsidRDefault="002C11EF" w:rsidP="00FE495A">
      <w:pPr>
        <w:rPr>
          <w:rFonts w:ascii="Arial" w:hAnsi="Arial" w:cs="Arial"/>
        </w:rPr>
      </w:pPr>
    </w:p>
    <w:p w14:paraId="1F431E2D" w14:textId="77777777" w:rsidR="00CD0902" w:rsidRPr="00216C30" w:rsidRDefault="00CD0902" w:rsidP="00CD0902">
      <w:pPr>
        <w:pStyle w:val="Heading2"/>
        <w:rPr>
          <w:rFonts w:ascii="Arial" w:hAnsi="Arial" w:cs="Arial"/>
        </w:rPr>
      </w:pPr>
      <w:bookmarkStart w:id="7" w:name="_Toc38875939"/>
      <w:r w:rsidRPr="00216C30">
        <w:rPr>
          <w:rFonts w:ascii="Arial" w:hAnsi="Arial" w:cs="Arial"/>
        </w:rPr>
        <w:t>Equity risk</w:t>
      </w:r>
      <w:bookmarkEnd w:id="7"/>
    </w:p>
    <w:p w14:paraId="6CE95F9D" w14:textId="77777777" w:rsidR="00CD0902" w:rsidRPr="00216C30" w:rsidRDefault="002540B7" w:rsidP="00CD0902">
      <w:pPr>
        <w:rPr>
          <w:rFonts w:ascii="Arial" w:hAnsi="Arial" w:cs="Arial"/>
        </w:rPr>
      </w:pPr>
      <w:r w:rsidRPr="00216C30">
        <w:rPr>
          <w:rFonts w:ascii="Arial" w:hAnsi="Arial" w:cs="Arial"/>
        </w:rPr>
        <w:t>The Bank has no equity risk since it does not hold any equity portfolios</w:t>
      </w:r>
      <w:r w:rsidR="00CD0902" w:rsidRPr="00216C30">
        <w:rPr>
          <w:rFonts w:ascii="Arial" w:hAnsi="Arial" w:cs="Arial"/>
        </w:rPr>
        <w:t>.</w:t>
      </w:r>
    </w:p>
    <w:p w14:paraId="5005FDE0" w14:textId="77777777" w:rsidR="00CD0902" w:rsidRPr="00216C30" w:rsidRDefault="00CD0902" w:rsidP="00FE495A">
      <w:pPr>
        <w:rPr>
          <w:rFonts w:ascii="Arial" w:hAnsi="Arial" w:cs="Arial"/>
        </w:rPr>
      </w:pPr>
    </w:p>
    <w:p w14:paraId="10E94D53" w14:textId="77777777" w:rsidR="00FE495A" w:rsidRPr="00216C30" w:rsidRDefault="00FE495A" w:rsidP="001B05EB">
      <w:pPr>
        <w:pStyle w:val="Heading2"/>
        <w:rPr>
          <w:rFonts w:ascii="Arial" w:hAnsi="Arial" w:cs="Arial"/>
        </w:rPr>
      </w:pPr>
      <w:bookmarkStart w:id="8" w:name="_Toc38875940"/>
      <w:r w:rsidRPr="00216C30">
        <w:rPr>
          <w:rFonts w:ascii="Arial" w:hAnsi="Arial" w:cs="Arial"/>
        </w:rPr>
        <w:t>Interest Rate Risk</w:t>
      </w:r>
      <w:bookmarkEnd w:id="8"/>
    </w:p>
    <w:p w14:paraId="61481F8C" w14:textId="77777777" w:rsidR="00E53226" w:rsidRPr="00216C30" w:rsidRDefault="001F418C" w:rsidP="00E53226">
      <w:pPr>
        <w:rPr>
          <w:rFonts w:ascii="Arial" w:hAnsi="Arial" w:cs="Arial"/>
        </w:rPr>
      </w:pPr>
      <w:r w:rsidRPr="00216C30">
        <w:rPr>
          <w:rFonts w:ascii="Arial" w:hAnsi="Arial" w:cs="Arial"/>
        </w:rPr>
        <w:t xml:space="preserve">The Bank is exposed to interest rate risk through its mismatch of credit card loans repricing versus </w:t>
      </w:r>
      <w:r w:rsidR="0049467B">
        <w:rPr>
          <w:rFonts w:ascii="Arial" w:hAnsi="Arial" w:cs="Arial"/>
        </w:rPr>
        <w:t>the repricing profile of</w:t>
      </w:r>
      <w:r w:rsidR="000B02C3">
        <w:rPr>
          <w:rFonts w:ascii="Arial" w:hAnsi="Arial" w:cs="Arial"/>
        </w:rPr>
        <w:t xml:space="preserve"> </w:t>
      </w:r>
      <w:r w:rsidRPr="00216C30">
        <w:rPr>
          <w:rFonts w:ascii="Arial" w:hAnsi="Arial" w:cs="Arial"/>
        </w:rPr>
        <w:t xml:space="preserve">its </w:t>
      </w:r>
      <w:r w:rsidR="00633BCE" w:rsidRPr="00216C30">
        <w:rPr>
          <w:rFonts w:ascii="Arial" w:hAnsi="Arial" w:cs="Arial"/>
        </w:rPr>
        <w:t>s</w:t>
      </w:r>
      <w:r w:rsidR="00173505" w:rsidRPr="00216C30">
        <w:rPr>
          <w:rFonts w:ascii="Arial" w:hAnsi="Arial" w:cs="Arial"/>
        </w:rPr>
        <w:t>ecuritized facility</w:t>
      </w:r>
      <w:r w:rsidR="000B02C3">
        <w:rPr>
          <w:rFonts w:ascii="Arial" w:hAnsi="Arial" w:cs="Arial"/>
        </w:rPr>
        <w:t xml:space="preserve"> and term GIC’s</w:t>
      </w:r>
      <w:r w:rsidR="00FF3721" w:rsidRPr="00216C30">
        <w:rPr>
          <w:rFonts w:ascii="Arial" w:hAnsi="Arial" w:cs="Arial"/>
        </w:rPr>
        <w:t>.</w:t>
      </w:r>
      <w:r w:rsidRPr="00216C30">
        <w:rPr>
          <w:rFonts w:ascii="Arial" w:hAnsi="Arial" w:cs="Arial"/>
        </w:rPr>
        <w:t xml:space="preserve">  ALCO monitors this mismatch, as well as interest rate movements in Canada, and reports to the Board.  </w:t>
      </w:r>
    </w:p>
    <w:p w14:paraId="26EF391E" w14:textId="77777777" w:rsidR="001F418C" w:rsidRPr="00216C30" w:rsidRDefault="00E53226" w:rsidP="00E53226">
      <w:pPr>
        <w:rPr>
          <w:rFonts w:ascii="Arial" w:hAnsi="Arial" w:cs="Arial"/>
        </w:rPr>
      </w:pPr>
      <w:r w:rsidRPr="00216C30">
        <w:rPr>
          <w:rFonts w:ascii="Arial" w:hAnsi="Arial" w:cs="Arial"/>
        </w:rPr>
        <w:tab/>
      </w:r>
    </w:p>
    <w:p w14:paraId="426F0605" w14:textId="77777777" w:rsidR="00E53226" w:rsidRPr="00216C30" w:rsidRDefault="001F418C" w:rsidP="00E53226">
      <w:pPr>
        <w:rPr>
          <w:rFonts w:ascii="Arial" w:hAnsi="Arial" w:cs="Arial"/>
        </w:rPr>
      </w:pPr>
      <w:r w:rsidRPr="00216C30">
        <w:rPr>
          <w:rFonts w:ascii="Arial" w:hAnsi="Arial" w:cs="Arial"/>
        </w:rPr>
        <w:t>The management of interest rate risk against interest rate gap limits is supplemented by monitoring the sensitivity of the Bank's financial assets and financial liabil</w:t>
      </w:r>
      <w:r w:rsidR="00FE495A" w:rsidRPr="00216C30">
        <w:rPr>
          <w:rFonts w:ascii="Arial" w:hAnsi="Arial" w:cs="Arial"/>
        </w:rPr>
        <w:t>ities to rate shift scenarios.</w:t>
      </w:r>
    </w:p>
    <w:p w14:paraId="3846CAA7" w14:textId="77777777" w:rsidR="00FE495A" w:rsidRPr="00216C30" w:rsidRDefault="00FE495A" w:rsidP="00E53226">
      <w:pPr>
        <w:rPr>
          <w:rFonts w:ascii="Arial" w:hAnsi="Arial" w:cs="Arial"/>
        </w:rPr>
      </w:pPr>
    </w:p>
    <w:p w14:paraId="0ED94489" w14:textId="77777777" w:rsidR="00FE495A" w:rsidRPr="00216C30" w:rsidRDefault="00FE495A" w:rsidP="00FE495A">
      <w:pPr>
        <w:rPr>
          <w:rFonts w:ascii="Arial" w:hAnsi="Arial" w:cs="Arial"/>
        </w:rPr>
      </w:pPr>
      <w:r w:rsidRPr="00216C30">
        <w:rPr>
          <w:rFonts w:ascii="Arial" w:hAnsi="Arial" w:cs="Arial"/>
        </w:rPr>
        <w:t xml:space="preserve">Detailed disclosures pertaining to Interest Rate Risk </w:t>
      </w:r>
      <w:proofErr w:type="gramStart"/>
      <w:r w:rsidRPr="00216C30">
        <w:rPr>
          <w:rFonts w:ascii="Arial" w:hAnsi="Arial" w:cs="Arial"/>
        </w:rPr>
        <w:t>are located in</w:t>
      </w:r>
      <w:proofErr w:type="gramEnd"/>
      <w:r w:rsidRPr="00216C30">
        <w:rPr>
          <w:rFonts w:ascii="Arial" w:hAnsi="Arial" w:cs="Arial"/>
        </w:rPr>
        <w:t xml:space="preserve"> Appendix C.</w:t>
      </w:r>
    </w:p>
    <w:p w14:paraId="4026E368" w14:textId="77777777" w:rsidR="00FE495A" w:rsidRPr="00E53226" w:rsidRDefault="00FE495A" w:rsidP="00E53226"/>
    <w:p w14:paraId="2EEEE9FE" w14:textId="77777777" w:rsidR="001F418C" w:rsidRPr="00216C30" w:rsidRDefault="001F418C" w:rsidP="00455BD2">
      <w:pPr>
        <w:pStyle w:val="Heading2"/>
        <w:rPr>
          <w:rFonts w:ascii="Arial" w:hAnsi="Arial" w:cs="Arial"/>
        </w:rPr>
      </w:pPr>
      <w:bookmarkStart w:id="9" w:name="_Toc38875941"/>
      <w:r w:rsidRPr="00216C30">
        <w:rPr>
          <w:rFonts w:ascii="Arial" w:hAnsi="Arial" w:cs="Arial"/>
        </w:rPr>
        <w:lastRenderedPageBreak/>
        <w:t>Liquidity risk</w:t>
      </w:r>
      <w:bookmarkEnd w:id="9"/>
    </w:p>
    <w:p w14:paraId="1E938D9E" w14:textId="77777777" w:rsidR="001F418C" w:rsidRPr="00216C30" w:rsidRDefault="001F418C" w:rsidP="00E53226">
      <w:pPr>
        <w:rPr>
          <w:rFonts w:ascii="Arial" w:hAnsi="Arial" w:cs="Arial"/>
        </w:rPr>
      </w:pPr>
      <w:r w:rsidRPr="00216C30">
        <w:rPr>
          <w:rFonts w:ascii="Arial" w:hAnsi="Arial" w:cs="Arial"/>
        </w:rPr>
        <w:t xml:space="preserve">Liquidity risk is the risk that the Bank will not be able to meet commitments and obligations when due or may incur significant costs in meeting obligations.  </w:t>
      </w:r>
      <w:r w:rsidR="00E53226" w:rsidRPr="00216C30">
        <w:rPr>
          <w:rFonts w:ascii="Arial" w:hAnsi="Arial" w:cs="Arial"/>
        </w:rPr>
        <w:t>The Bank</w:t>
      </w:r>
      <w:r w:rsidRPr="00216C30">
        <w:rPr>
          <w:rFonts w:ascii="Arial" w:hAnsi="Arial" w:cs="Arial"/>
        </w:rPr>
        <w:t xml:space="preserve"> manages its exposure to short</w:t>
      </w:r>
      <w:r w:rsidRPr="00216C30">
        <w:rPr>
          <w:rFonts w:ascii="Arial" w:hAnsi="Arial" w:cs="Arial"/>
        </w:rPr>
        <w:noBreakHyphen/>
        <w:t>term and long</w:t>
      </w:r>
      <w:r w:rsidRPr="00216C30">
        <w:rPr>
          <w:rFonts w:ascii="Arial" w:hAnsi="Arial" w:cs="Arial"/>
        </w:rPr>
        <w:noBreakHyphen/>
        <w:t>term liquidity by ensuring that adequate governance, policies, and procedures are in place to manage cash on a daily, weekly, and monthly basis.  Long</w:t>
      </w:r>
      <w:r w:rsidRPr="00216C30">
        <w:rPr>
          <w:rFonts w:ascii="Arial" w:hAnsi="Arial" w:cs="Arial"/>
        </w:rPr>
        <w:noBreakHyphen/>
        <w:t>range planning and forecasting tools are used to monitor long-term funding needs.  The ALCO monitors both short</w:t>
      </w:r>
      <w:r w:rsidRPr="00216C30">
        <w:rPr>
          <w:rFonts w:ascii="Arial" w:hAnsi="Arial" w:cs="Arial"/>
        </w:rPr>
        <w:noBreakHyphen/>
        <w:t>term and long</w:t>
      </w:r>
      <w:r w:rsidRPr="00216C30">
        <w:rPr>
          <w:rFonts w:ascii="Arial" w:hAnsi="Arial" w:cs="Arial"/>
        </w:rPr>
        <w:noBreakHyphen/>
        <w:t>term needs.  A liquidity contingency plan is also in place to ensure funding needs are met during a crisis.</w:t>
      </w:r>
    </w:p>
    <w:p w14:paraId="1DAC9FCC" w14:textId="77777777" w:rsidR="00734917" w:rsidRPr="00216C30" w:rsidRDefault="00734917" w:rsidP="00E53226">
      <w:pPr>
        <w:rPr>
          <w:rFonts w:ascii="Arial" w:hAnsi="Arial" w:cs="Arial"/>
        </w:rPr>
      </w:pPr>
    </w:p>
    <w:p w14:paraId="027B0DD6" w14:textId="77777777" w:rsidR="00734917" w:rsidRPr="00216C30" w:rsidRDefault="00734917" w:rsidP="00734917">
      <w:pPr>
        <w:pStyle w:val="Heading2"/>
        <w:rPr>
          <w:rFonts w:ascii="Arial" w:hAnsi="Arial" w:cs="Arial"/>
        </w:rPr>
      </w:pPr>
      <w:bookmarkStart w:id="10" w:name="_Toc38875942"/>
      <w:r w:rsidRPr="00216C30">
        <w:rPr>
          <w:rFonts w:ascii="Arial" w:hAnsi="Arial" w:cs="Arial"/>
        </w:rPr>
        <w:t>Operational risk</w:t>
      </w:r>
      <w:bookmarkEnd w:id="10"/>
    </w:p>
    <w:p w14:paraId="45CE6B1C" w14:textId="77777777" w:rsidR="00734917" w:rsidRPr="00216C30" w:rsidRDefault="00734917" w:rsidP="00734917">
      <w:pPr>
        <w:rPr>
          <w:rFonts w:ascii="Arial" w:hAnsi="Arial" w:cs="Arial"/>
        </w:rPr>
      </w:pPr>
      <w:r w:rsidRPr="00216C30">
        <w:rPr>
          <w:rFonts w:ascii="Arial" w:hAnsi="Arial" w:cs="Arial"/>
        </w:rPr>
        <w:t>Operational risk is the risk of loss resulting from inadequate or failed internal processes, people and systems or from external events.  It excludes strategic and reputation risk.  The Bank manages its exposure to operational risk through the implementation of assessment methods, including operational risk self-assessments and loss tracking. The Bank uses the basic indicator approach to measure operational risk.</w:t>
      </w:r>
    </w:p>
    <w:p w14:paraId="1AEFFD00" w14:textId="77777777" w:rsidR="001F418C" w:rsidRPr="00216C30" w:rsidRDefault="003E0C7F" w:rsidP="003E0C7F">
      <w:pPr>
        <w:pStyle w:val="Heading1"/>
        <w:rPr>
          <w:rFonts w:ascii="Arial" w:hAnsi="Arial" w:cs="Arial"/>
        </w:rPr>
      </w:pPr>
      <w:bookmarkStart w:id="11" w:name="_Toc38875943"/>
      <w:r w:rsidRPr="00216C30">
        <w:rPr>
          <w:rFonts w:ascii="Arial" w:hAnsi="Arial" w:cs="Arial"/>
        </w:rPr>
        <w:t>CAPITAL MANAGEMENT</w:t>
      </w:r>
      <w:bookmarkEnd w:id="11"/>
    </w:p>
    <w:p w14:paraId="03C99BBB" w14:textId="77777777" w:rsidR="00455BD2" w:rsidRPr="00216C30" w:rsidRDefault="00455BD2" w:rsidP="00455BD2">
      <w:pPr>
        <w:rPr>
          <w:rFonts w:ascii="Arial" w:hAnsi="Arial" w:cs="Arial"/>
        </w:rPr>
      </w:pPr>
      <w:r w:rsidRPr="00216C30">
        <w:rPr>
          <w:rFonts w:ascii="Arial" w:hAnsi="Arial" w:cs="Arial"/>
        </w:rPr>
        <w:t xml:space="preserve">The Bank's policy is to maintain a strong capital risk management program to ensure adequate capital to sustain future development of the business and to exceed external regulatory requirements.  The impact of the level of capital on the shareholders' returns is also monitored and the Bank recognizes the need to maintain a balance between the higher returns that might be </w:t>
      </w:r>
      <w:proofErr w:type="gramStart"/>
      <w:r w:rsidRPr="00216C30">
        <w:rPr>
          <w:rFonts w:ascii="Arial" w:hAnsi="Arial" w:cs="Arial"/>
        </w:rPr>
        <w:t>possible</w:t>
      </w:r>
      <w:proofErr w:type="gramEnd"/>
      <w:r w:rsidRPr="00216C30">
        <w:rPr>
          <w:rFonts w:ascii="Arial" w:hAnsi="Arial" w:cs="Arial"/>
        </w:rPr>
        <w:t xml:space="preserve"> and the security afforded by a sound capital position.</w:t>
      </w:r>
    </w:p>
    <w:p w14:paraId="68680749" w14:textId="77777777" w:rsidR="00C17351" w:rsidRPr="00216C30" w:rsidRDefault="00C17351" w:rsidP="00455BD2">
      <w:pPr>
        <w:rPr>
          <w:rFonts w:ascii="Arial" w:hAnsi="Arial" w:cs="Arial"/>
        </w:rPr>
      </w:pPr>
    </w:p>
    <w:p w14:paraId="79EC57C1" w14:textId="4C6CF508" w:rsidR="00455BD2" w:rsidRPr="00216C30" w:rsidRDefault="00455BD2" w:rsidP="00455BD2">
      <w:pPr>
        <w:rPr>
          <w:rFonts w:ascii="Arial" w:hAnsi="Arial" w:cs="Arial"/>
        </w:rPr>
      </w:pPr>
      <w:r w:rsidRPr="00216C30">
        <w:rPr>
          <w:rFonts w:ascii="Arial" w:hAnsi="Arial" w:cs="Arial"/>
        </w:rPr>
        <w:t xml:space="preserve">The Bank is authorized to issue an unlimited number of preferred shares, without nominal or par value, for unlimited consideration.  These have preference over common shares.  There were no preferred shares outstanding at </w:t>
      </w:r>
      <w:r w:rsidR="00EC5139">
        <w:rPr>
          <w:rFonts w:ascii="Arial" w:hAnsi="Arial" w:cs="Arial"/>
        </w:rPr>
        <w:t>December 31</w:t>
      </w:r>
      <w:r w:rsidR="00B91B24" w:rsidRPr="00216C30">
        <w:rPr>
          <w:rFonts w:ascii="Arial" w:hAnsi="Arial" w:cs="Arial"/>
        </w:rPr>
        <w:t>, 2019</w:t>
      </w:r>
      <w:r w:rsidRPr="00216C30">
        <w:rPr>
          <w:rFonts w:ascii="Arial" w:hAnsi="Arial" w:cs="Arial"/>
        </w:rPr>
        <w:t>.</w:t>
      </w:r>
    </w:p>
    <w:p w14:paraId="7AEF77F4" w14:textId="77777777" w:rsidR="00C17351" w:rsidRPr="00216C30" w:rsidRDefault="00C17351" w:rsidP="00455BD2">
      <w:pPr>
        <w:rPr>
          <w:rFonts w:ascii="Arial" w:hAnsi="Arial" w:cs="Arial"/>
        </w:rPr>
      </w:pPr>
    </w:p>
    <w:p w14:paraId="4FD9BAC2" w14:textId="739D280E" w:rsidR="00455BD2" w:rsidRPr="00216C30" w:rsidRDefault="00455BD2" w:rsidP="00455BD2">
      <w:pPr>
        <w:rPr>
          <w:rFonts w:ascii="Arial" w:hAnsi="Arial" w:cs="Arial"/>
        </w:rPr>
      </w:pPr>
      <w:r w:rsidRPr="00216C30">
        <w:rPr>
          <w:rFonts w:ascii="Arial" w:hAnsi="Arial" w:cs="Arial"/>
        </w:rPr>
        <w:t xml:space="preserve">The Bank is authorized to issue an unlimited number of its common shares, without nominal or par value, for unlimited consideration.  As at </w:t>
      </w:r>
      <w:r w:rsidR="00EC5139">
        <w:rPr>
          <w:rFonts w:ascii="Arial" w:hAnsi="Arial" w:cs="Arial"/>
        </w:rPr>
        <w:t>December 31</w:t>
      </w:r>
      <w:r w:rsidR="00B91B24" w:rsidRPr="00216C30">
        <w:rPr>
          <w:rFonts w:ascii="Arial" w:hAnsi="Arial" w:cs="Arial"/>
        </w:rPr>
        <w:t>, 2019</w:t>
      </w:r>
      <w:r w:rsidR="00D17164" w:rsidRPr="00216C30">
        <w:rPr>
          <w:rFonts w:ascii="Arial" w:hAnsi="Arial" w:cs="Arial"/>
        </w:rPr>
        <w:t>, the Bank had 2</w:t>
      </w:r>
      <w:r w:rsidR="00EC5139">
        <w:rPr>
          <w:rFonts w:ascii="Arial" w:hAnsi="Arial" w:cs="Arial"/>
        </w:rPr>
        <w:t>31</w:t>
      </w:r>
      <w:r w:rsidR="00394707" w:rsidRPr="00216C30">
        <w:rPr>
          <w:rFonts w:ascii="Arial" w:hAnsi="Arial" w:cs="Arial"/>
        </w:rPr>
        <w:t>,</w:t>
      </w:r>
      <w:r w:rsidR="00EC5139">
        <w:rPr>
          <w:rFonts w:ascii="Arial" w:hAnsi="Arial" w:cs="Arial"/>
        </w:rPr>
        <w:t>753</w:t>
      </w:r>
      <w:r w:rsidRPr="00216C30">
        <w:rPr>
          <w:rFonts w:ascii="Arial" w:hAnsi="Arial" w:cs="Arial"/>
        </w:rPr>
        <w:t xml:space="preserve">,000 common shares issued and outstanding. </w:t>
      </w:r>
    </w:p>
    <w:p w14:paraId="6EDE8CB3" w14:textId="77777777" w:rsidR="00734917" w:rsidRPr="00216C30" w:rsidRDefault="00734917" w:rsidP="00455BD2">
      <w:pPr>
        <w:rPr>
          <w:rFonts w:ascii="Arial" w:hAnsi="Arial" w:cs="Arial"/>
        </w:rPr>
      </w:pPr>
    </w:p>
    <w:p w14:paraId="6AC8A244" w14:textId="77777777" w:rsidR="00455BD2" w:rsidRPr="00216C30" w:rsidRDefault="00455BD2" w:rsidP="00C17351">
      <w:pPr>
        <w:pStyle w:val="Heading2"/>
        <w:rPr>
          <w:rFonts w:ascii="Arial" w:hAnsi="Arial" w:cs="Arial"/>
        </w:rPr>
      </w:pPr>
      <w:bookmarkStart w:id="12" w:name="_Toc38875944"/>
      <w:r w:rsidRPr="00216C30">
        <w:rPr>
          <w:rFonts w:ascii="Arial" w:hAnsi="Arial" w:cs="Arial"/>
        </w:rPr>
        <w:t>Regulatory Capital Position</w:t>
      </w:r>
      <w:bookmarkEnd w:id="12"/>
    </w:p>
    <w:p w14:paraId="2E05F2A1" w14:textId="77777777" w:rsidR="003F02C8" w:rsidRPr="00216C30" w:rsidRDefault="003F02C8" w:rsidP="007F4B2D">
      <w:pPr>
        <w:rPr>
          <w:rFonts w:ascii="Arial" w:hAnsi="Arial" w:cs="Arial"/>
        </w:rPr>
      </w:pPr>
      <w:r w:rsidRPr="00216C30">
        <w:rPr>
          <w:rFonts w:ascii="Arial" w:hAnsi="Arial" w:cs="Arial"/>
        </w:rPr>
        <w:t xml:space="preserve">The Bank calculates its regulatory capital based on the following methodologies: </w:t>
      </w:r>
    </w:p>
    <w:p w14:paraId="3539E1EE" w14:textId="77777777" w:rsidR="003F02C8" w:rsidRPr="00216C30" w:rsidRDefault="003F02C8" w:rsidP="007F4B2D">
      <w:pPr>
        <w:rPr>
          <w:rFonts w:ascii="Arial" w:hAnsi="Arial" w:cs="Arial"/>
        </w:rPr>
      </w:pPr>
      <w:r w:rsidRPr="00216C30">
        <w:rPr>
          <w:rFonts w:ascii="Arial" w:hAnsi="Arial" w:cs="Arial"/>
        </w:rPr>
        <w:t xml:space="preserve">The Bank manages its credit risk using the standardized approach and the Bank’s operational risk is </w:t>
      </w:r>
      <w:r w:rsidR="000C7356" w:rsidRPr="00216C30">
        <w:rPr>
          <w:rFonts w:ascii="Arial" w:hAnsi="Arial" w:cs="Arial"/>
        </w:rPr>
        <w:t>monitored</w:t>
      </w:r>
      <w:r w:rsidRPr="00216C30">
        <w:rPr>
          <w:rFonts w:ascii="Arial" w:hAnsi="Arial" w:cs="Arial"/>
        </w:rPr>
        <w:t xml:space="preserve"> using the Basic Indicator Approach. </w:t>
      </w:r>
    </w:p>
    <w:p w14:paraId="089D4054" w14:textId="77777777" w:rsidR="003F02C8" w:rsidRPr="00216C30" w:rsidRDefault="003F02C8" w:rsidP="007F4B2D">
      <w:pPr>
        <w:rPr>
          <w:rFonts w:ascii="Arial" w:hAnsi="Arial" w:cs="Arial"/>
        </w:rPr>
      </w:pPr>
    </w:p>
    <w:p w14:paraId="13B99A54" w14:textId="77777777" w:rsidR="00394707" w:rsidRPr="00216C30" w:rsidRDefault="001F418C" w:rsidP="007F4B2D">
      <w:pPr>
        <w:rPr>
          <w:rFonts w:ascii="Arial" w:hAnsi="Arial" w:cs="Arial"/>
        </w:rPr>
      </w:pPr>
      <w:r w:rsidRPr="00216C30">
        <w:rPr>
          <w:rFonts w:ascii="Arial" w:hAnsi="Arial" w:cs="Arial"/>
        </w:rPr>
        <w:t xml:space="preserve">The Bank's regulatory capital consists of Tier 1 </w:t>
      </w:r>
      <w:r w:rsidR="00394707" w:rsidRPr="00216C30">
        <w:rPr>
          <w:rFonts w:ascii="Arial" w:hAnsi="Arial" w:cs="Arial"/>
        </w:rPr>
        <w:t xml:space="preserve">and Tier 2 </w:t>
      </w:r>
      <w:r w:rsidRPr="00216C30">
        <w:rPr>
          <w:rFonts w:ascii="Arial" w:hAnsi="Arial" w:cs="Arial"/>
        </w:rPr>
        <w:t>capital.  Tier 1 capital includes ordinary share capital and retained earnings.</w:t>
      </w:r>
      <w:r w:rsidR="00A74AF1" w:rsidRPr="00216C30">
        <w:rPr>
          <w:rFonts w:ascii="Arial" w:hAnsi="Arial" w:cs="Arial"/>
        </w:rPr>
        <w:t xml:space="preserve"> </w:t>
      </w:r>
      <w:r w:rsidR="00394707" w:rsidRPr="00216C30">
        <w:rPr>
          <w:rFonts w:ascii="Arial" w:hAnsi="Arial" w:cs="Arial"/>
        </w:rPr>
        <w:t>T</w:t>
      </w:r>
      <w:r w:rsidR="00E62380" w:rsidRPr="00216C30">
        <w:rPr>
          <w:rFonts w:ascii="Arial" w:hAnsi="Arial" w:cs="Arial"/>
        </w:rPr>
        <w:t>ier 2 c</w:t>
      </w:r>
      <w:r w:rsidR="00394707" w:rsidRPr="00216C30">
        <w:rPr>
          <w:rFonts w:ascii="Arial" w:hAnsi="Arial" w:cs="Arial"/>
        </w:rPr>
        <w:t xml:space="preserve">apital includes the </w:t>
      </w:r>
      <w:r w:rsidR="00394707" w:rsidRPr="00216C30">
        <w:rPr>
          <w:rFonts w:ascii="Arial" w:hAnsi="Arial" w:cs="Arial"/>
        </w:rPr>
        <w:lastRenderedPageBreak/>
        <w:t xml:space="preserve">OSFI-approved </w:t>
      </w:r>
      <w:r w:rsidR="00E62380" w:rsidRPr="00216C30">
        <w:rPr>
          <w:rFonts w:ascii="Arial" w:hAnsi="Arial" w:cs="Arial"/>
        </w:rPr>
        <w:t>amounts relating</w:t>
      </w:r>
      <w:r w:rsidR="00394707" w:rsidRPr="00216C30">
        <w:rPr>
          <w:rFonts w:ascii="Arial" w:hAnsi="Arial" w:cs="Arial"/>
        </w:rPr>
        <w:t xml:space="preserve"> to the Bank’s IFRS 9 </w:t>
      </w:r>
      <w:r w:rsidR="00E62380" w:rsidRPr="00216C30">
        <w:rPr>
          <w:rFonts w:ascii="Arial" w:hAnsi="Arial" w:cs="Arial"/>
        </w:rPr>
        <w:t>General Allowances</w:t>
      </w:r>
      <w:r w:rsidR="00394707" w:rsidRPr="00216C30">
        <w:rPr>
          <w:rFonts w:ascii="Arial" w:hAnsi="Arial" w:cs="Arial"/>
        </w:rPr>
        <w:t xml:space="preserve">, up to a maximum of 1.25% of Credit Risk Weighted Assets. </w:t>
      </w:r>
    </w:p>
    <w:p w14:paraId="52624AC0" w14:textId="77777777" w:rsidR="00394707" w:rsidRPr="00216C30" w:rsidRDefault="00394707" w:rsidP="007F4B2D">
      <w:pPr>
        <w:rPr>
          <w:rFonts w:ascii="Arial" w:hAnsi="Arial" w:cs="Arial"/>
        </w:rPr>
      </w:pPr>
    </w:p>
    <w:p w14:paraId="1FDA9778" w14:textId="77777777" w:rsidR="00A74AF1" w:rsidRPr="00216C30" w:rsidRDefault="00A74AF1" w:rsidP="007F4B2D">
      <w:pPr>
        <w:rPr>
          <w:rFonts w:ascii="Arial" w:hAnsi="Arial" w:cs="Arial"/>
        </w:rPr>
      </w:pPr>
      <w:r w:rsidRPr="00216C30">
        <w:rPr>
          <w:rFonts w:ascii="Arial" w:hAnsi="Arial" w:cs="Arial"/>
        </w:rPr>
        <w:t>The Bank has complied with all externally and internally imposed capital requirements throughout the year.  Management uses regulatory capital ratios in order to monitor its capital base.  These capital ratios remain the international standards for measuring capital adequacy. The Bank's policies in respect of capital management are reviewed regularly by the Board.</w:t>
      </w:r>
    </w:p>
    <w:p w14:paraId="1FF1A9C4" w14:textId="77777777" w:rsidR="001F418C" w:rsidRPr="00216C30" w:rsidRDefault="001F418C" w:rsidP="007F4B2D">
      <w:pPr>
        <w:rPr>
          <w:rFonts w:ascii="Arial" w:hAnsi="Arial" w:cs="Arial"/>
        </w:rPr>
      </w:pPr>
    </w:p>
    <w:p w14:paraId="150A8F82" w14:textId="77777777" w:rsidR="001F418C" w:rsidRPr="00216C30" w:rsidRDefault="001F418C" w:rsidP="007F4B2D">
      <w:pPr>
        <w:rPr>
          <w:rFonts w:ascii="Arial" w:hAnsi="Arial" w:cs="Arial"/>
        </w:rPr>
      </w:pPr>
      <w:r w:rsidRPr="00216C30">
        <w:rPr>
          <w:rFonts w:ascii="Arial" w:hAnsi="Arial" w:cs="Arial"/>
        </w:rPr>
        <w:t>Banking operations are categorized as either trading book or banking book, and risk</w:t>
      </w:r>
      <w:r w:rsidRPr="00216C30">
        <w:rPr>
          <w:rFonts w:ascii="Arial" w:hAnsi="Arial" w:cs="Arial"/>
        </w:rPr>
        <w:noBreakHyphen/>
        <w:t xml:space="preserve">weighted assets are determined according to specified requirements that seek to reflect the varying levels of risk attached to assets and exposures not recognized in the statement of financial position.  </w:t>
      </w:r>
    </w:p>
    <w:p w14:paraId="513036C2" w14:textId="77777777" w:rsidR="001F418C" w:rsidRPr="00216C30" w:rsidRDefault="001F418C" w:rsidP="007F4B2D">
      <w:pPr>
        <w:rPr>
          <w:rFonts w:ascii="Arial" w:hAnsi="Arial" w:cs="Arial"/>
        </w:rPr>
      </w:pPr>
    </w:p>
    <w:p w14:paraId="41B183B9" w14:textId="3FDF607D" w:rsidR="001F418C" w:rsidRPr="00216C30" w:rsidRDefault="00C17351" w:rsidP="007F4B2D">
      <w:pPr>
        <w:rPr>
          <w:rFonts w:ascii="Arial" w:hAnsi="Arial" w:cs="Arial"/>
        </w:rPr>
      </w:pPr>
      <w:r w:rsidRPr="00216C30">
        <w:rPr>
          <w:rFonts w:ascii="Arial" w:hAnsi="Arial" w:cs="Arial"/>
        </w:rPr>
        <w:t>The</w:t>
      </w:r>
      <w:r w:rsidR="001F418C" w:rsidRPr="00216C30">
        <w:rPr>
          <w:rFonts w:ascii="Arial" w:hAnsi="Arial" w:cs="Arial"/>
        </w:rPr>
        <w:t xml:space="preserve"> Bank's regulatory capital position under Basel </w:t>
      </w:r>
      <w:r w:rsidR="00A74AF1" w:rsidRPr="00216C30">
        <w:rPr>
          <w:rFonts w:ascii="Arial" w:hAnsi="Arial" w:cs="Arial"/>
        </w:rPr>
        <w:t>I</w:t>
      </w:r>
      <w:r w:rsidR="001F418C" w:rsidRPr="00216C30">
        <w:rPr>
          <w:rFonts w:ascii="Arial" w:hAnsi="Arial" w:cs="Arial"/>
        </w:rPr>
        <w:t>II</w:t>
      </w:r>
      <w:r w:rsidRPr="00216C30">
        <w:rPr>
          <w:rFonts w:ascii="Arial" w:hAnsi="Arial" w:cs="Arial"/>
        </w:rPr>
        <w:t xml:space="preserve"> as</w:t>
      </w:r>
      <w:r w:rsidR="001F418C" w:rsidRPr="00216C30">
        <w:rPr>
          <w:rFonts w:ascii="Arial" w:hAnsi="Arial" w:cs="Arial"/>
        </w:rPr>
        <w:t xml:space="preserve"> at </w:t>
      </w:r>
      <w:r w:rsidR="00EC5139">
        <w:rPr>
          <w:rFonts w:ascii="Arial" w:hAnsi="Arial" w:cs="Arial"/>
        </w:rPr>
        <w:t>December 31</w:t>
      </w:r>
      <w:r w:rsidR="00B91B24" w:rsidRPr="00216C30">
        <w:rPr>
          <w:rFonts w:ascii="Arial" w:hAnsi="Arial" w:cs="Arial"/>
        </w:rPr>
        <w:t>, 2019</w:t>
      </w:r>
      <w:r w:rsidRPr="00216C30">
        <w:rPr>
          <w:rFonts w:ascii="Arial" w:hAnsi="Arial" w:cs="Arial"/>
        </w:rPr>
        <w:t xml:space="preserve"> is outlined in Appendix A</w:t>
      </w:r>
      <w:r w:rsidR="00A74AF1" w:rsidRPr="00216C30">
        <w:rPr>
          <w:rFonts w:ascii="Arial" w:hAnsi="Arial" w:cs="Arial"/>
        </w:rPr>
        <w:t>.</w:t>
      </w:r>
    </w:p>
    <w:p w14:paraId="5217227A" w14:textId="77777777" w:rsidR="001F418C" w:rsidRPr="00216C30" w:rsidRDefault="001F418C" w:rsidP="00E53226">
      <w:pPr>
        <w:rPr>
          <w:rFonts w:ascii="Arial" w:hAnsi="Arial" w:cs="Arial"/>
        </w:rPr>
      </w:pPr>
    </w:p>
    <w:p w14:paraId="5C928D17" w14:textId="77777777" w:rsidR="001F418C" w:rsidRPr="00216C30" w:rsidRDefault="001F418C" w:rsidP="00E53226">
      <w:pPr>
        <w:rPr>
          <w:rFonts w:ascii="Arial" w:hAnsi="Arial" w:cs="Arial"/>
        </w:rPr>
      </w:pPr>
    </w:p>
    <w:p w14:paraId="7D3BA556" w14:textId="77777777" w:rsidR="00F231A4" w:rsidRPr="00216C30" w:rsidRDefault="009B46E4" w:rsidP="00D22C6D">
      <w:pPr>
        <w:pStyle w:val="Heading1"/>
        <w:tabs>
          <w:tab w:val="left" w:pos="90"/>
        </w:tabs>
        <w:ind w:left="90" w:hanging="90"/>
        <w:rPr>
          <w:rFonts w:ascii="Arial" w:hAnsi="Arial" w:cs="Arial"/>
        </w:rPr>
      </w:pPr>
      <w:r>
        <w:br w:type="page"/>
      </w:r>
      <w:bookmarkStart w:id="13" w:name="_Toc38875945"/>
      <w:r w:rsidR="00DC2083" w:rsidRPr="00216C30">
        <w:rPr>
          <w:rFonts w:ascii="Arial" w:hAnsi="Arial" w:cs="Arial"/>
        </w:rPr>
        <w:lastRenderedPageBreak/>
        <w:t>APPENDIX A</w:t>
      </w:r>
      <w:bookmarkEnd w:id="13"/>
    </w:p>
    <w:p w14:paraId="7442C95A" w14:textId="77777777" w:rsidR="00571888" w:rsidRPr="00216C30" w:rsidRDefault="00E532E2" w:rsidP="00663568">
      <w:pPr>
        <w:pStyle w:val="Heading2"/>
        <w:spacing w:after="0"/>
        <w:ind w:left="0"/>
        <w:contextualSpacing/>
        <w:jc w:val="left"/>
        <w:rPr>
          <w:rFonts w:ascii="Arial" w:hAnsi="Arial" w:cs="Arial"/>
          <w:i w:val="0"/>
        </w:rPr>
      </w:pPr>
      <w:bookmarkStart w:id="14" w:name="_Toc38875946"/>
      <w:r w:rsidRPr="00216C30">
        <w:rPr>
          <w:rFonts w:ascii="Arial" w:hAnsi="Arial" w:cs="Arial"/>
          <w:i w:val="0"/>
        </w:rPr>
        <w:t>BASEL III COMMON DISCLOSURES</w:t>
      </w:r>
      <w:bookmarkEnd w:id="14"/>
    </w:p>
    <w:p w14:paraId="41337E4D" w14:textId="11C47E8D" w:rsidR="00F231A4" w:rsidRPr="00216C30" w:rsidRDefault="00337B06" w:rsidP="00663568">
      <w:pPr>
        <w:contextualSpacing/>
        <w:rPr>
          <w:rFonts w:ascii="Arial" w:hAnsi="Arial" w:cs="Arial"/>
          <w:b/>
          <w:lang w:val="en-US" w:eastAsia="en-US"/>
        </w:rPr>
      </w:pPr>
      <w:r w:rsidRPr="00216C30">
        <w:rPr>
          <w:rFonts w:ascii="Arial" w:hAnsi="Arial" w:cs="Arial"/>
          <w:b/>
          <w:lang w:val="en-US" w:eastAsia="en-US"/>
        </w:rPr>
        <w:t xml:space="preserve">As at </w:t>
      </w:r>
      <w:r w:rsidR="00EC5139">
        <w:rPr>
          <w:rFonts w:ascii="Arial" w:hAnsi="Arial" w:cs="Arial"/>
          <w:b/>
          <w:lang w:val="en-US" w:eastAsia="en-US"/>
        </w:rPr>
        <w:t>December 31</w:t>
      </w:r>
      <w:r w:rsidR="00B91B24" w:rsidRPr="00216C30">
        <w:rPr>
          <w:rFonts w:ascii="Arial" w:hAnsi="Arial" w:cs="Arial"/>
          <w:b/>
          <w:lang w:val="en-US" w:eastAsia="en-US"/>
        </w:rPr>
        <w:t>, 2019</w:t>
      </w:r>
    </w:p>
    <w:p w14:paraId="6F812C82" w14:textId="77777777" w:rsidR="00F762BF" w:rsidRPr="00216C30" w:rsidRDefault="00F762BF" w:rsidP="00663568">
      <w:pPr>
        <w:contextualSpacing/>
        <w:rPr>
          <w:rFonts w:ascii="Arial" w:hAnsi="Arial" w:cs="Arial"/>
          <w:b/>
          <w:lang w:val="en-US" w:eastAsia="en-US"/>
        </w:rPr>
      </w:pPr>
    </w:p>
    <w:p w14:paraId="49955D94" w14:textId="77777777" w:rsidR="00663568" w:rsidRPr="00216C30" w:rsidRDefault="00663568" w:rsidP="00663568">
      <w:pPr>
        <w:rPr>
          <w:rFonts w:ascii="Arial" w:hAnsi="Arial" w:cs="Arial"/>
          <w:b/>
          <w:lang w:val="en-US" w:eastAsia="en-US"/>
        </w:rPr>
      </w:pPr>
    </w:p>
    <w:tbl>
      <w:tblPr>
        <w:tblW w:w="9990" w:type="dxa"/>
        <w:tblInd w:w="-432" w:type="dxa"/>
        <w:tblLayout w:type="fixed"/>
        <w:tblLook w:val="04A0" w:firstRow="1" w:lastRow="0" w:firstColumn="1" w:lastColumn="0" w:noHBand="0" w:noVBand="1"/>
      </w:tblPr>
      <w:tblGrid>
        <w:gridCol w:w="582"/>
        <w:gridCol w:w="7788"/>
        <w:gridCol w:w="1620"/>
      </w:tblGrid>
      <w:tr w:rsidR="00D22C6D" w:rsidRPr="00864AD4" w14:paraId="0DC53E95" w14:textId="77777777" w:rsidTr="007D0D03">
        <w:trPr>
          <w:trHeight w:val="266"/>
        </w:trPr>
        <w:tc>
          <w:tcPr>
            <w:tcW w:w="837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233D567" w14:textId="77777777" w:rsidR="00D22C6D" w:rsidRPr="00864AD4" w:rsidRDefault="00D22C6D" w:rsidP="009323ED">
            <w:pPr>
              <w:spacing w:before="60"/>
              <w:jc w:val="left"/>
              <w:rPr>
                <w:rFonts w:ascii="Arial" w:hAnsi="Arial" w:cs="Arial"/>
                <w:b/>
                <w:bCs/>
                <w:color w:val="000000"/>
                <w:sz w:val="22"/>
                <w:szCs w:val="22"/>
                <w:lang w:val="en-US" w:eastAsia="en-US"/>
              </w:rPr>
            </w:pPr>
            <w:r w:rsidRPr="00864AD4">
              <w:rPr>
                <w:rFonts w:ascii="Arial" w:hAnsi="Arial" w:cs="Arial"/>
                <w:b/>
                <w:bCs/>
                <w:color w:val="000000"/>
                <w:sz w:val="22"/>
                <w:szCs w:val="22"/>
                <w:lang w:val="en-US" w:eastAsia="en-US"/>
              </w:rPr>
              <w:t>BCAR CALCULATIONS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98E93B5" w14:textId="77777777" w:rsidR="00D22C6D" w:rsidRPr="00216C30" w:rsidRDefault="00D22C6D" w:rsidP="005E1467">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All-in</w:t>
            </w:r>
          </w:p>
        </w:tc>
      </w:tr>
      <w:tr w:rsidR="00366C75" w:rsidRPr="00864AD4" w14:paraId="1A9B8F85" w14:textId="77777777" w:rsidTr="007D0D03">
        <w:trPr>
          <w:trHeight w:val="399"/>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62FE8A9B" w14:textId="77777777" w:rsidR="00366C75" w:rsidRPr="00864AD4" w:rsidRDefault="00366C75" w:rsidP="00366C75">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1</w:t>
            </w:r>
          </w:p>
        </w:tc>
        <w:tc>
          <w:tcPr>
            <w:tcW w:w="7788" w:type="dxa"/>
            <w:tcBorders>
              <w:top w:val="single" w:sz="4" w:space="0" w:color="000000"/>
              <w:left w:val="nil"/>
              <w:bottom w:val="single" w:sz="4" w:space="0" w:color="000000"/>
              <w:right w:val="single" w:sz="4" w:space="0" w:color="000000"/>
            </w:tcBorders>
            <w:shd w:val="clear" w:color="000000" w:fill="FFFFFF"/>
            <w:hideMark/>
          </w:tcPr>
          <w:p w14:paraId="5A184A27" w14:textId="77777777" w:rsidR="00366C75" w:rsidRPr="00864AD4" w:rsidRDefault="00366C75" w:rsidP="00366C75">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Directly issued qualifying common share capital (and equivalent for non-joint stock companies) plus related stock surplus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70E19EF2" w14:textId="77777777" w:rsidR="00366C75" w:rsidRPr="00216C30" w:rsidRDefault="00366C75" w:rsidP="00366C75">
            <w:pPr>
              <w:jc w:val="right"/>
              <w:rPr>
                <w:rFonts w:ascii="Arial" w:hAnsi="Arial" w:cs="Arial"/>
                <w:color w:val="000000"/>
                <w:sz w:val="20"/>
                <w:lang w:val="en-US"/>
              </w:rPr>
            </w:pPr>
            <w:r w:rsidRPr="00216C30">
              <w:rPr>
                <w:rFonts w:ascii="Arial" w:hAnsi="Arial" w:cs="Arial"/>
                <w:color w:val="000000"/>
                <w:sz w:val="20"/>
                <w:szCs w:val="20"/>
              </w:rPr>
              <w:t>240,424</w:t>
            </w:r>
          </w:p>
        </w:tc>
      </w:tr>
      <w:tr w:rsidR="00366C75" w:rsidRPr="00864AD4" w14:paraId="6C919B32"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5CDDA07B" w14:textId="77777777" w:rsidR="00366C75" w:rsidRPr="00864AD4" w:rsidRDefault="00366C75" w:rsidP="00366C75">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2</w:t>
            </w:r>
          </w:p>
        </w:tc>
        <w:tc>
          <w:tcPr>
            <w:tcW w:w="7788" w:type="dxa"/>
            <w:tcBorders>
              <w:top w:val="nil"/>
              <w:left w:val="nil"/>
              <w:bottom w:val="single" w:sz="4" w:space="0" w:color="000000"/>
              <w:right w:val="single" w:sz="4" w:space="0" w:color="000000"/>
            </w:tcBorders>
            <w:shd w:val="clear" w:color="000000" w:fill="FFFFFF"/>
            <w:hideMark/>
          </w:tcPr>
          <w:p w14:paraId="3D626D3E" w14:textId="77777777" w:rsidR="00366C75" w:rsidRPr="00424CC3" w:rsidRDefault="00366C75" w:rsidP="00366C75">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Retained earnings</w:t>
            </w:r>
          </w:p>
        </w:tc>
        <w:tc>
          <w:tcPr>
            <w:tcW w:w="1620" w:type="dxa"/>
            <w:tcBorders>
              <w:top w:val="nil"/>
              <w:left w:val="nil"/>
              <w:bottom w:val="single" w:sz="4" w:space="0" w:color="000000"/>
              <w:right w:val="single" w:sz="4" w:space="0" w:color="000000"/>
            </w:tcBorders>
            <w:shd w:val="clear" w:color="000000" w:fill="FFFFFF"/>
            <w:hideMark/>
          </w:tcPr>
          <w:p w14:paraId="0405C635" w14:textId="4F58735D" w:rsidR="00366C75" w:rsidRPr="00216C30" w:rsidRDefault="00EC5139" w:rsidP="00366C75">
            <w:pPr>
              <w:jc w:val="right"/>
              <w:rPr>
                <w:rFonts w:ascii="Arial" w:hAnsi="Arial" w:cs="Arial"/>
                <w:color w:val="000000"/>
                <w:sz w:val="20"/>
                <w:szCs w:val="20"/>
              </w:rPr>
            </w:pPr>
            <w:r>
              <w:rPr>
                <w:rFonts w:ascii="Arial" w:hAnsi="Arial" w:cs="Arial"/>
                <w:color w:val="000000"/>
                <w:sz w:val="20"/>
                <w:szCs w:val="20"/>
              </w:rPr>
              <w:t>25,316</w:t>
            </w:r>
            <w:r w:rsidR="00366C75" w:rsidRPr="00216C30">
              <w:rPr>
                <w:rFonts w:ascii="Arial" w:hAnsi="Arial" w:cs="Arial"/>
                <w:color w:val="000000"/>
                <w:sz w:val="20"/>
                <w:szCs w:val="20"/>
              </w:rPr>
              <w:t xml:space="preserve"> </w:t>
            </w:r>
          </w:p>
        </w:tc>
      </w:tr>
      <w:tr w:rsidR="00BF06CD" w:rsidRPr="00864AD4" w14:paraId="6D5BD0F3"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28FBB2FE" w14:textId="77777777" w:rsidR="00BF06CD" w:rsidRPr="00864AD4" w:rsidRDefault="00BF06C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3</w:t>
            </w:r>
          </w:p>
        </w:tc>
        <w:tc>
          <w:tcPr>
            <w:tcW w:w="7788" w:type="dxa"/>
            <w:tcBorders>
              <w:top w:val="nil"/>
              <w:left w:val="nil"/>
              <w:bottom w:val="single" w:sz="4" w:space="0" w:color="000000"/>
              <w:right w:val="single" w:sz="4" w:space="0" w:color="000000"/>
            </w:tcBorders>
            <w:shd w:val="clear" w:color="000000" w:fill="FFFFFF"/>
            <w:hideMark/>
          </w:tcPr>
          <w:p w14:paraId="5B0E8E6B" w14:textId="77777777" w:rsidR="00BF06CD" w:rsidRPr="00424CC3" w:rsidRDefault="00BF06CD" w:rsidP="009323ED">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Accumulated other comprehensive income (and other reserves)</w:t>
            </w:r>
          </w:p>
        </w:tc>
        <w:tc>
          <w:tcPr>
            <w:tcW w:w="1620" w:type="dxa"/>
            <w:tcBorders>
              <w:top w:val="nil"/>
              <w:left w:val="nil"/>
              <w:bottom w:val="single" w:sz="4" w:space="0" w:color="000000"/>
              <w:right w:val="single" w:sz="4" w:space="0" w:color="000000"/>
            </w:tcBorders>
            <w:shd w:val="clear" w:color="000000" w:fill="FFFFFF"/>
            <w:hideMark/>
          </w:tcPr>
          <w:p w14:paraId="587A7809" w14:textId="77777777" w:rsidR="00BF06CD" w:rsidRPr="00216C30" w:rsidRDefault="00BF06CD">
            <w:pPr>
              <w:jc w:val="right"/>
              <w:rPr>
                <w:rFonts w:ascii="Arial" w:hAnsi="Arial" w:cs="Arial"/>
                <w:color w:val="000000"/>
                <w:sz w:val="20"/>
                <w:szCs w:val="20"/>
              </w:rPr>
            </w:pPr>
            <w:r w:rsidRPr="00216C30">
              <w:rPr>
                <w:rFonts w:ascii="Arial" w:hAnsi="Arial" w:cs="Arial"/>
                <w:color w:val="000000"/>
                <w:sz w:val="20"/>
                <w:szCs w:val="20"/>
              </w:rPr>
              <w:t> </w:t>
            </w:r>
          </w:p>
        </w:tc>
      </w:tr>
      <w:tr w:rsidR="00BF06CD" w:rsidRPr="00864AD4" w14:paraId="6D81E335" w14:textId="77777777" w:rsidTr="00F762BF">
        <w:trPr>
          <w:trHeight w:val="293"/>
        </w:trPr>
        <w:tc>
          <w:tcPr>
            <w:tcW w:w="582" w:type="dxa"/>
            <w:tcBorders>
              <w:top w:val="nil"/>
              <w:left w:val="single" w:sz="4" w:space="0" w:color="000000"/>
              <w:bottom w:val="single" w:sz="4" w:space="0" w:color="000000"/>
              <w:right w:val="single" w:sz="4" w:space="0" w:color="000000"/>
            </w:tcBorders>
            <w:shd w:val="clear" w:color="000000" w:fill="FFFFFF"/>
            <w:hideMark/>
          </w:tcPr>
          <w:p w14:paraId="766BF8C1" w14:textId="77777777" w:rsidR="00BF06CD" w:rsidRPr="00864AD4" w:rsidRDefault="00BF06C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4</w:t>
            </w:r>
          </w:p>
        </w:tc>
        <w:tc>
          <w:tcPr>
            <w:tcW w:w="7788" w:type="dxa"/>
            <w:tcBorders>
              <w:top w:val="nil"/>
              <w:left w:val="nil"/>
              <w:bottom w:val="single" w:sz="4" w:space="0" w:color="000000"/>
              <w:right w:val="single" w:sz="4" w:space="0" w:color="000000"/>
            </w:tcBorders>
            <w:shd w:val="clear" w:color="000000" w:fill="FFFFFF"/>
            <w:hideMark/>
          </w:tcPr>
          <w:p w14:paraId="2732F555" w14:textId="77777777" w:rsidR="00BF06CD" w:rsidRPr="00424CC3" w:rsidRDefault="00BF06CD" w:rsidP="009323ED">
            <w:pPr>
              <w:spacing w:before="60"/>
              <w:jc w:val="left"/>
              <w:rPr>
                <w:rFonts w:ascii="Arial" w:hAnsi="Arial" w:cs="Arial"/>
                <w:i/>
                <w:iCs/>
                <w:color w:val="000000"/>
                <w:sz w:val="16"/>
                <w:szCs w:val="16"/>
                <w:lang w:val="en-US" w:eastAsia="en-US"/>
              </w:rPr>
            </w:pPr>
            <w:r w:rsidRPr="00424CC3">
              <w:rPr>
                <w:rFonts w:ascii="Arial" w:hAnsi="Arial" w:cs="Arial"/>
                <w:i/>
                <w:iCs/>
                <w:color w:val="000000"/>
                <w:sz w:val="16"/>
                <w:szCs w:val="16"/>
                <w:lang w:val="en-US" w:eastAsia="en-US"/>
              </w:rPr>
              <w:t>Directly issued capital subject to phase out from CET1 (only applicable to non-joint stock companies)</w:t>
            </w:r>
          </w:p>
        </w:tc>
        <w:tc>
          <w:tcPr>
            <w:tcW w:w="1620" w:type="dxa"/>
            <w:tcBorders>
              <w:top w:val="nil"/>
              <w:left w:val="nil"/>
              <w:bottom w:val="single" w:sz="4" w:space="0" w:color="000000"/>
              <w:right w:val="single" w:sz="4" w:space="0" w:color="000000"/>
            </w:tcBorders>
            <w:shd w:val="clear" w:color="000000" w:fill="FFFFFF"/>
            <w:hideMark/>
          </w:tcPr>
          <w:p w14:paraId="68FA8309" w14:textId="77777777" w:rsidR="00BF06CD" w:rsidRPr="00216C30" w:rsidRDefault="00BF06CD">
            <w:pPr>
              <w:jc w:val="right"/>
              <w:rPr>
                <w:rFonts w:ascii="Arial" w:hAnsi="Arial" w:cs="Arial"/>
                <w:color w:val="000000"/>
                <w:sz w:val="20"/>
                <w:szCs w:val="20"/>
              </w:rPr>
            </w:pPr>
            <w:r w:rsidRPr="00216C30">
              <w:rPr>
                <w:rFonts w:ascii="Arial" w:hAnsi="Arial" w:cs="Arial"/>
                <w:color w:val="000000"/>
                <w:sz w:val="20"/>
                <w:szCs w:val="20"/>
              </w:rPr>
              <w:t> </w:t>
            </w:r>
          </w:p>
        </w:tc>
      </w:tr>
      <w:tr w:rsidR="00BF06CD" w:rsidRPr="00864AD4" w14:paraId="4BDBD210" w14:textId="77777777" w:rsidTr="00F762BF">
        <w:trPr>
          <w:trHeight w:val="293"/>
        </w:trPr>
        <w:tc>
          <w:tcPr>
            <w:tcW w:w="582" w:type="dxa"/>
            <w:tcBorders>
              <w:top w:val="nil"/>
              <w:left w:val="single" w:sz="4" w:space="0" w:color="000000"/>
              <w:bottom w:val="single" w:sz="4" w:space="0" w:color="000000"/>
              <w:right w:val="single" w:sz="4" w:space="0" w:color="000000"/>
            </w:tcBorders>
            <w:shd w:val="clear" w:color="000000" w:fill="FFFFFF"/>
            <w:hideMark/>
          </w:tcPr>
          <w:p w14:paraId="2AF65A85" w14:textId="77777777" w:rsidR="00BF06CD" w:rsidRPr="00864AD4" w:rsidRDefault="00BF06C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5</w:t>
            </w:r>
          </w:p>
        </w:tc>
        <w:tc>
          <w:tcPr>
            <w:tcW w:w="7788" w:type="dxa"/>
            <w:tcBorders>
              <w:top w:val="single" w:sz="4" w:space="0" w:color="000000"/>
              <w:left w:val="nil"/>
              <w:bottom w:val="single" w:sz="4" w:space="0" w:color="000000"/>
              <w:right w:val="single" w:sz="4" w:space="0" w:color="000000"/>
            </w:tcBorders>
            <w:shd w:val="clear" w:color="000000" w:fill="FFFFFF"/>
            <w:hideMark/>
          </w:tcPr>
          <w:p w14:paraId="47FB7A4E" w14:textId="77777777" w:rsidR="00BF06CD" w:rsidRPr="00864AD4" w:rsidRDefault="00BF06CD" w:rsidP="009323ED">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Common share capital issued by subsidiaries and held by third parties (amount allowed in group CET1)</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58FE1F3" w14:textId="77777777" w:rsidR="00BF06CD" w:rsidRPr="00216C30" w:rsidRDefault="00BF06CD">
            <w:pPr>
              <w:jc w:val="right"/>
              <w:rPr>
                <w:rFonts w:ascii="Arial" w:hAnsi="Arial" w:cs="Arial"/>
                <w:color w:val="000000"/>
                <w:sz w:val="20"/>
                <w:szCs w:val="20"/>
              </w:rPr>
            </w:pPr>
            <w:r w:rsidRPr="00216C30">
              <w:rPr>
                <w:rFonts w:ascii="Arial" w:hAnsi="Arial" w:cs="Arial"/>
                <w:color w:val="000000"/>
                <w:sz w:val="20"/>
                <w:szCs w:val="20"/>
              </w:rPr>
              <w:t> </w:t>
            </w:r>
          </w:p>
        </w:tc>
      </w:tr>
      <w:tr w:rsidR="00BF06CD" w:rsidRPr="00864AD4" w14:paraId="5393F676"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4B167EC9" w14:textId="77777777" w:rsidR="00BF06CD" w:rsidRPr="00864AD4" w:rsidRDefault="00BF06C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6</w:t>
            </w:r>
          </w:p>
        </w:tc>
        <w:tc>
          <w:tcPr>
            <w:tcW w:w="7788" w:type="dxa"/>
            <w:tcBorders>
              <w:top w:val="single" w:sz="4" w:space="0" w:color="000000"/>
              <w:left w:val="nil"/>
              <w:bottom w:val="single" w:sz="4" w:space="0" w:color="000000"/>
              <w:right w:val="single" w:sz="4" w:space="0" w:color="000000"/>
            </w:tcBorders>
            <w:shd w:val="clear" w:color="000000" w:fill="D9D9D9"/>
            <w:hideMark/>
          </w:tcPr>
          <w:p w14:paraId="390AD018" w14:textId="77777777" w:rsidR="00BF06CD" w:rsidRPr="00424CC3" w:rsidRDefault="00BF06CD" w:rsidP="009323ED">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Common Equity Tier 1 capital before regulatory adjustments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6EDDF1D9" w14:textId="76C624FC" w:rsidR="00BF06CD" w:rsidRPr="00216C30" w:rsidRDefault="00540A71" w:rsidP="00366C75">
            <w:pPr>
              <w:jc w:val="right"/>
              <w:rPr>
                <w:rFonts w:ascii="Arial" w:hAnsi="Arial" w:cs="Arial"/>
                <w:color w:val="000000"/>
                <w:sz w:val="20"/>
                <w:lang w:val="en-US"/>
              </w:rPr>
            </w:pPr>
            <w:r>
              <w:rPr>
                <w:rFonts w:ascii="Arial" w:hAnsi="Arial" w:cs="Arial"/>
                <w:color w:val="000000"/>
                <w:sz w:val="20"/>
                <w:szCs w:val="20"/>
              </w:rPr>
              <w:t>2</w:t>
            </w:r>
            <w:r w:rsidR="00EC5139">
              <w:rPr>
                <w:rFonts w:ascii="Arial" w:hAnsi="Arial" w:cs="Arial"/>
                <w:color w:val="000000"/>
                <w:sz w:val="20"/>
                <w:szCs w:val="20"/>
              </w:rPr>
              <w:t>65,740</w:t>
            </w:r>
          </w:p>
        </w:tc>
      </w:tr>
      <w:tr w:rsidR="00DA343E" w:rsidRPr="00864AD4" w14:paraId="09351F34"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6E62E49B" w14:textId="77777777" w:rsidR="00DA343E" w:rsidRPr="00864AD4" w:rsidRDefault="00DA343E"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28</w:t>
            </w:r>
          </w:p>
        </w:tc>
        <w:tc>
          <w:tcPr>
            <w:tcW w:w="7788" w:type="dxa"/>
            <w:tcBorders>
              <w:top w:val="single" w:sz="4" w:space="0" w:color="000000"/>
              <w:left w:val="nil"/>
              <w:bottom w:val="single" w:sz="4" w:space="0" w:color="000000"/>
              <w:right w:val="single" w:sz="4" w:space="0" w:color="000000"/>
            </w:tcBorders>
            <w:shd w:val="clear" w:color="000000" w:fill="D9D9D9"/>
            <w:hideMark/>
          </w:tcPr>
          <w:p w14:paraId="62E9030C" w14:textId="77777777" w:rsidR="00DA343E" w:rsidRPr="00424CC3" w:rsidRDefault="00DA343E" w:rsidP="009323ED">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Total regulatory adjustments to Common Equity Tier 1</w:t>
            </w:r>
          </w:p>
        </w:tc>
        <w:tc>
          <w:tcPr>
            <w:tcW w:w="1620" w:type="dxa"/>
            <w:tcBorders>
              <w:top w:val="single" w:sz="4" w:space="0" w:color="000000"/>
              <w:left w:val="nil"/>
              <w:bottom w:val="single" w:sz="4" w:space="0" w:color="000000"/>
              <w:right w:val="single" w:sz="4" w:space="0" w:color="000000"/>
            </w:tcBorders>
            <w:shd w:val="clear" w:color="000000" w:fill="FFFFFF"/>
            <w:hideMark/>
          </w:tcPr>
          <w:p w14:paraId="2026BD33" w14:textId="3030D582" w:rsidR="00DA343E" w:rsidRPr="00216C30" w:rsidRDefault="00DA343E">
            <w:pPr>
              <w:jc w:val="right"/>
              <w:rPr>
                <w:rFonts w:ascii="Arial" w:hAnsi="Arial" w:cs="Arial"/>
                <w:color w:val="000000"/>
                <w:sz w:val="20"/>
                <w:szCs w:val="20"/>
              </w:rPr>
            </w:pPr>
            <w:r w:rsidRPr="00216C30">
              <w:rPr>
                <w:rFonts w:ascii="Arial" w:hAnsi="Arial" w:cs="Arial"/>
                <w:color w:val="000000"/>
                <w:sz w:val="20"/>
                <w:szCs w:val="20"/>
              </w:rPr>
              <w:t>(</w:t>
            </w:r>
            <w:r w:rsidR="00540A71">
              <w:rPr>
                <w:rFonts w:ascii="Arial" w:hAnsi="Arial" w:cs="Arial"/>
                <w:color w:val="000000"/>
                <w:sz w:val="20"/>
                <w:szCs w:val="20"/>
              </w:rPr>
              <w:t>3,</w:t>
            </w:r>
            <w:r w:rsidR="00EC5139">
              <w:rPr>
                <w:rFonts w:ascii="Arial" w:hAnsi="Arial" w:cs="Arial"/>
                <w:color w:val="000000"/>
                <w:sz w:val="20"/>
                <w:szCs w:val="20"/>
              </w:rPr>
              <w:t>906</w:t>
            </w:r>
            <w:r w:rsidR="00540A71">
              <w:rPr>
                <w:rFonts w:ascii="Arial" w:hAnsi="Arial" w:cs="Arial"/>
                <w:color w:val="000000"/>
                <w:sz w:val="20"/>
                <w:szCs w:val="20"/>
              </w:rPr>
              <w:t>)</w:t>
            </w:r>
          </w:p>
        </w:tc>
      </w:tr>
      <w:tr w:rsidR="00DA343E" w:rsidRPr="00864AD4" w14:paraId="1FD49139"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55FAC0EA" w14:textId="77777777" w:rsidR="00DA343E" w:rsidRPr="00864AD4" w:rsidRDefault="00DA343E"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29</w:t>
            </w:r>
          </w:p>
        </w:tc>
        <w:tc>
          <w:tcPr>
            <w:tcW w:w="7788" w:type="dxa"/>
            <w:tcBorders>
              <w:top w:val="single" w:sz="4" w:space="0" w:color="000000"/>
              <w:left w:val="nil"/>
              <w:bottom w:val="single" w:sz="4" w:space="0" w:color="000000"/>
              <w:right w:val="single" w:sz="4" w:space="0" w:color="000000"/>
            </w:tcBorders>
            <w:shd w:val="clear" w:color="000000" w:fill="D9D9D9"/>
            <w:hideMark/>
          </w:tcPr>
          <w:p w14:paraId="0FC7C599" w14:textId="77777777" w:rsidR="00DA343E" w:rsidRPr="00424CC3" w:rsidRDefault="00DA343E" w:rsidP="009323ED">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Common Equity Tier 1 capital (CET1)</w:t>
            </w:r>
          </w:p>
        </w:tc>
        <w:tc>
          <w:tcPr>
            <w:tcW w:w="1620" w:type="dxa"/>
            <w:tcBorders>
              <w:top w:val="single" w:sz="4" w:space="0" w:color="000000"/>
              <w:left w:val="nil"/>
              <w:bottom w:val="single" w:sz="4" w:space="0" w:color="000000"/>
              <w:right w:val="single" w:sz="4" w:space="0" w:color="000000"/>
            </w:tcBorders>
            <w:shd w:val="clear" w:color="000000" w:fill="FFFFFF"/>
            <w:hideMark/>
          </w:tcPr>
          <w:p w14:paraId="7DF44A55" w14:textId="53C993D2" w:rsidR="00DA343E" w:rsidRPr="00216C30" w:rsidRDefault="00DA343E">
            <w:pPr>
              <w:jc w:val="right"/>
              <w:rPr>
                <w:rFonts w:ascii="Arial" w:hAnsi="Arial" w:cs="Arial"/>
                <w:b/>
                <w:color w:val="000000"/>
                <w:sz w:val="20"/>
                <w:szCs w:val="20"/>
              </w:rPr>
            </w:pPr>
            <w:r w:rsidRPr="00216C30">
              <w:rPr>
                <w:rFonts w:ascii="Arial" w:hAnsi="Arial" w:cs="Arial"/>
                <w:b/>
                <w:color w:val="000000"/>
                <w:sz w:val="20"/>
                <w:szCs w:val="20"/>
              </w:rPr>
              <w:t>2</w:t>
            </w:r>
            <w:r w:rsidR="00EC5139">
              <w:rPr>
                <w:rFonts w:ascii="Arial" w:hAnsi="Arial" w:cs="Arial"/>
                <w:b/>
                <w:color w:val="000000"/>
                <w:sz w:val="20"/>
                <w:szCs w:val="20"/>
              </w:rPr>
              <w:t>61,834</w:t>
            </w:r>
          </w:p>
        </w:tc>
      </w:tr>
      <w:tr w:rsidR="00D22C6D" w:rsidRPr="00864AD4" w14:paraId="4A689EFC"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38D3F260"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30</w:t>
            </w:r>
          </w:p>
        </w:tc>
        <w:tc>
          <w:tcPr>
            <w:tcW w:w="7788" w:type="dxa"/>
            <w:tcBorders>
              <w:top w:val="single" w:sz="4" w:space="0" w:color="000000"/>
              <w:left w:val="nil"/>
              <w:bottom w:val="single" w:sz="4" w:space="0" w:color="000000"/>
              <w:right w:val="single" w:sz="4" w:space="0" w:color="000000"/>
            </w:tcBorders>
            <w:shd w:val="clear" w:color="000000" w:fill="FFFFFF"/>
            <w:hideMark/>
          </w:tcPr>
          <w:p w14:paraId="36062F55" w14:textId="77777777" w:rsidR="00D22C6D" w:rsidRPr="00424CC3" w:rsidRDefault="00D22C6D" w:rsidP="009323ED">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Directly issued qualifying Additional Tier 1 instruments plus related stock surplus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26529D48"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2D46D1E1"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2AA7FC7E"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31</w:t>
            </w:r>
          </w:p>
        </w:tc>
        <w:tc>
          <w:tcPr>
            <w:tcW w:w="7788" w:type="dxa"/>
            <w:tcBorders>
              <w:top w:val="nil"/>
              <w:left w:val="nil"/>
              <w:bottom w:val="single" w:sz="4" w:space="0" w:color="000000"/>
              <w:right w:val="single" w:sz="4" w:space="0" w:color="000000"/>
            </w:tcBorders>
            <w:shd w:val="clear" w:color="000000" w:fill="FFFFFF"/>
            <w:hideMark/>
          </w:tcPr>
          <w:p w14:paraId="098E4A8A" w14:textId="77777777" w:rsidR="00D22C6D" w:rsidRPr="00424CC3" w:rsidRDefault="00D22C6D" w:rsidP="009323ED">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of which: classified as equity under applicable accounting standards</w:t>
            </w:r>
          </w:p>
        </w:tc>
        <w:tc>
          <w:tcPr>
            <w:tcW w:w="1620" w:type="dxa"/>
            <w:tcBorders>
              <w:top w:val="nil"/>
              <w:left w:val="nil"/>
              <w:bottom w:val="single" w:sz="4" w:space="0" w:color="000000"/>
              <w:right w:val="single" w:sz="4" w:space="0" w:color="000000"/>
            </w:tcBorders>
            <w:shd w:val="clear" w:color="000000" w:fill="FFFFFF"/>
            <w:hideMark/>
          </w:tcPr>
          <w:p w14:paraId="32CE3EAA"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45A1DC9A"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10EE8194"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32</w:t>
            </w:r>
          </w:p>
        </w:tc>
        <w:tc>
          <w:tcPr>
            <w:tcW w:w="7788" w:type="dxa"/>
            <w:tcBorders>
              <w:top w:val="nil"/>
              <w:left w:val="nil"/>
              <w:bottom w:val="single" w:sz="4" w:space="0" w:color="000000"/>
              <w:right w:val="single" w:sz="4" w:space="0" w:color="000000"/>
            </w:tcBorders>
            <w:shd w:val="clear" w:color="000000" w:fill="FFFFFF"/>
            <w:hideMark/>
          </w:tcPr>
          <w:p w14:paraId="28EDC044" w14:textId="77777777" w:rsidR="00D22C6D" w:rsidRPr="00424CC3" w:rsidRDefault="00D22C6D" w:rsidP="009323ED">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of which: classified as liabilities under applicable accounting standards</w:t>
            </w:r>
          </w:p>
        </w:tc>
        <w:tc>
          <w:tcPr>
            <w:tcW w:w="1620" w:type="dxa"/>
            <w:tcBorders>
              <w:top w:val="nil"/>
              <w:left w:val="nil"/>
              <w:bottom w:val="single" w:sz="4" w:space="0" w:color="000000"/>
              <w:right w:val="single" w:sz="4" w:space="0" w:color="000000"/>
            </w:tcBorders>
            <w:shd w:val="clear" w:color="000000" w:fill="FFFFFF"/>
            <w:hideMark/>
          </w:tcPr>
          <w:p w14:paraId="43F5BEB4"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0F090037"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6D98D849"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33</w:t>
            </w:r>
          </w:p>
        </w:tc>
        <w:tc>
          <w:tcPr>
            <w:tcW w:w="7788" w:type="dxa"/>
            <w:tcBorders>
              <w:top w:val="nil"/>
              <w:left w:val="nil"/>
              <w:bottom w:val="single" w:sz="4" w:space="0" w:color="000000"/>
              <w:right w:val="single" w:sz="4" w:space="0" w:color="000000"/>
            </w:tcBorders>
            <w:shd w:val="clear" w:color="000000" w:fill="FFFFFF"/>
            <w:hideMark/>
          </w:tcPr>
          <w:p w14:paraId="1BAE4848" w14:textId="77777777" w:rsidR="00D22C6D" w:rsidRPr="00424CC3" w:rsidRDefault="00D22C6D" w:rsidP="009323ED">
            <w:pPr>
              <w:spacing w:before="60"/>
              <w:jc w:val="left"/>
              <w:rPr>
                <w:rFonts w:ascii="Arial" w:hAnsi="Arial" w:cs="Arial"/>
                <w:i/>
                <w:iCs/>
                <w:color w:val="000000"/>
                <w:sz w:val="16"/>
                <w:szCs w:val="16"/>
                <w:lang w:val="en-US" w:eastAsia="en-US"/>
              </w:rPr>
            </w:pPr>
            <w:r w:rsidRPr="00424CC3">
              <w:rPr>
                <w:rFonts w:ascii="Arial" w:hAnsi="Arial" w:cs="Arial"/>
                <w:i/>
                <w:iCs/>
                <w:color w:val="000000"/>
                <w:sz w:val="16"/>
                <w:szCs w:val="16"/>
                <w:lang w:val="en-US" w:eastAsia="en-US"/>
              </w:rPr>
              <w:t>Directly issued capital instruments subject to phase out from Additional Tier 1</w:t>
            </w:r>
          </w:p>
        </w:tc>
        <w:tc>
          <w:tcPr>
            <w:tcW w:w="1620" w:type="dxa"/>
            <w:tcBorders>
              <w:top w:val="nil"/>
              <w:left w:val="nil"/>
              <w:bottom w:val="single" w:sz="4" w:space="0" w:color="000000"/>
              <w:right w:val="single" w:sz="4" w:space="0" w:color="000000"/>
            </w:tcBorders>
            <w:shd w:val="clear" w:color="000000" w:fill="FFFFFF"/>
            <w:hideMark/>
          </w:tcPr>
          <w:p w14:paraId="0817AB08"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4BC2153F" w14:textId="77777777" w:rsidTr="00F762BF">
        <w:trPr>
          <w:trHeight w:val="399"/>
        </w:trPr>
        <w:tc>
          <w:tcPr>
            <w:tcW w:w="582" w:type="dxa"/>
            <w:tcBorders>
              <w:top w:val="nil"/>
              <w:left w:val="single" w:sz="4" w:space="0" w:color="000000"/>
              <w:bottom w:val="single" w:sz="4" w:space="0" w:color="000000"/>
              <w:right w:val="single" w:sz="4" w:space="0" w:color="000000"/>
            </w:tcBorders>
            <w:shd w:val="clear" w:color="000000" w:fill="FFFFFF"/>
            <w:hideMark/>
          </w:tcPr>
          <w:p w14:paraId="6759FB32"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34</w:t>
            </w:r>
          </w:p>
        </w:tc>
        <w:tc>
          <w:tcPr>
            <w:tcW w:w="7788" w:type="dxa"/>
            <w:tcBorders>
              <w:top w:val="nil"/>
              <w:left w:val="nil"/>
              <w:bottom w:val="single" w:sz="4" w:space="0" w:color="000000"/>
              <w:right w:val="single" w:sz="4" w:space="0" w:color="000000"/>
            </w:tcBorders>
            <w:shd w:val="clear" w:color="000000" w:fill="FFFFFF"/>
            <w:hideMark/>
          </w:tcPr>
          <w:p w14:paraId="0206965E" w14:textId="77777777" w:rsidR="00D22C6D" w:rsidRPr="00864AD4" w:rsidRDefault="00D22C6D" w:rsidP="009323ED">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Additional Tier 1 instruments (and CET1 instruments not included in row 5) issued by subsidiaries and held by third parties (amount allowed in group AT1)</w:t>
            </w:r>
          </w:p>
        </w:tc>
        <w:tc>
          <w:tcPr>
            <w:tcW w:w="1620" w:type="dxa"/>
            <w:tcBorders>
              <w:top w:val="nil"/>
              <w:left w:val="nil"/>
              <w:bottom w:val="single" w:sz="4" w:space="0" w:color="000000"/>
              <w:right w:val="single" w:sz="4" w:space="0" w:color="000000"/>
            </w:tcBorders>
            <w:shd w:val="clear" w:color="000000" w:fill="FFFFFF"/>
            <w:hideMark/>
          </w:tcPr>
          <w:p w14:paraId="51C34886"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1FD0F521"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6FB5F730"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35</w:t>
            </w:r>
          </w:p>
        </w:tc>
        <w:tc>
          <w:tcPr>
            <w:tcW w:w="7788" w:type="dxa"/>
            <w:tcBorders>
              <w:top w:val="single" w:sz="4" w:space="0" w:color="000000"/>
              <w:left w:val="nil"/>
              <w:bottom w:val="single" w:sz="4" w:space="0" w:color="000000"/>
              <w:right w:val="single" w:sz="4" w:space="0" w:color="000000"/>
            </w:tcBorders>
            <w:shd w:val="clear" w:color="000000" w:fill="FFFFFF"/>
            <w:hideMark/>
          </w:tcPr>
          <w:p w14:paraId="32D8DC75" w14:textId="77777777" w:rsidR="00D22C6D" w:rsidRPr="00864AD4" w:rsidRDefault="00D22C6D" w:rsidP="009323ED">
            <w:pPr>
              <w:spacing w:before="60"/>
              <w:jc w:val="left"/>
              <w:rPr>
                <w:rFonts w:ascii="Arial" w:hAnsi="Arial" w:cs="Arial"/>
                <w:i/>
                <w:iCs/>
                <w:color w:val="000000"/>
                <w:sz w:val="16"/>
                <w:szCs w:val="16"/>
                <w:lang w:val="en-US" w:eastAsia="en-US"/>
              </w:rPr>
            </w:pPr>
            <w:r w:rsidRPr="00424CC3">
              <w:rPr>
                <w:rFonts w:ascii="Arial" w:hAnsi="Arial" w:cs="Arial"/>
                <w:i/>
                <w:iCs/>
                <w:color w:val="000000"/>
                <w:sz w:val="16"/>
                <w:szCs w:val="16"/>
                <w:lang w:val="en-US" w:eastAsia="en-US"/>
              </w:rPr>
              <w:t>of which: instruments issued by subsidiaries subject to phase out</w:t>
            </w:r>
          </w:p>
        </w:tc>
        <w:tc>
          <w:tcPr>
            <w:tcW w:w="1620" w:type="dxa"/>
            <w:tcBorders>
              <w:top w:val="single" w:sz="4" w:space="0" w:color="000000"/>
              <w:left w:val="nil"/>
              <w:bottom w:val="single" w:sz="4" w:space="0" w:color="000000"/>
              <w:right w:val="single" w:sz="4" w:space="0" w:color="000000"/>
            </w:tcBorders>
            <w:shd w:val="clear" w:color="000000" w:fill="FFFFFF"/>
            <w:hideMark/>
          </w:tcPr>
          <w:p w14:paraId="448E3D42"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735F85CD"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2E58B8E6"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36</w:t>
            </w:r>
          </w:p>
        </w:tc>
        <w:tc>
          <w:tcPr>
            <w:tcW w:w="7788" w:type="dxa"/>
            <w:tcBorders>
              <w:top w:val="single" w:sz="4" w:space="0" w:color="000000"/>
              <w:left w:val="nil"/>
              <w:bottom w:val="single" w:sz="4" w:space="0" w:color="000000"/>
              <w:right w:val="single" w:sz="4" w:space="0" w:color="000000"/>
            </w:tcBorders>
            <w:shd w:val="clear" w:color="000000" w:fill="D9D9D9"/>
            <w:hideMark/>
          </w:tcPr>
          <w:p w14:paraId="1CBA1517" w14:textId="77777777" w:rsidR="00D22C6D" w:rsidRPr="00424CC3" w:rsidRDefault="00D22C6D" w:rsidP="009323ED">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Additional Tier 1 capital before regulatory adjustments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29C7DC6A"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5C6B2324"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329D0BA0"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43</w:t>
            </w:r>
          </w:p>
        </w:tc>
        <w:tc>
          <w:tcPr>
            <w:tcW w:w="7788" w:type="dxa"/>
            <w:tcBorders>
              <w:top w:val="single" w:sz="4" w:space="0" w:color="000000"/>
              <w:left w:val="nil"/>
              <w:bottom w:val="single" w:sz="4" w:space="0" w:color="000000"/>
              <w:right w:val="single" w:sz="4" w:space="0" w:color="000000"/>
            </w:tcBorders>
            <w:shd w:val="clear" w:color="000000" w:fill="D9D9D9"/>
            <w:hideMark/>
          </w:tcPr>
          <w:p w14:paraId="4DD3C03B" w14:textId="77777777" w:rsidR="00D22C6D" w:rsidRPr="00424CC3" w:rsidRDefault="00D22C6D" w:rsidP="009323ED">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Total regulatory adjustments to Additional Tier 1 capital</w:t>
            </w:r>
          </w:p>
        </w:tc>
        <w:tc>
          <w:tcPr>
            <w:tcW w:w="1620" w:type="dxa"/>
            <w:tcBorders>
              <w:top w:val="single" w:sz="4" w:space="0" w:color="000000"/>
              <w:left w:val="nil"/>
              <w:bottom w:val="single" w:sz="4" w:space="0" w:color="000000"/>
              <w:right w:val="single" w:sz="4" w:space="0" w:color="000000"/>
            </w:tcBorders>
            <w:shd w:val="clear" w:color="000000" w:fill="FFFFFF"/>
            <w:hideMark/>
          </w:tcPr>
          <w:p w14:paraId="4F827FBC"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1CFAABC1"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152FFFBC"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44</w:t>
            </w:r>
          </w:p>
        </w:tc>
        <w:tc>
          <w:tcPr>
            <w:tcW w:w="7788" w:type="dxa"/>
            <w:tcBorders>
              <w:top w:val="nil"/>
              <w:left w:val="nil"/>
              <w:bottom w:val="single" w:sz="4" w:space="0" w:color="000000"/>
              <w:right w:val="single" w:sz="4" w:space="0" w:color="000000"/>
            </w:tcBorders>
            <w:shd w:val="clear" w:color="000000" w:fill="D9D9D9"/>
            <w:hideMark/>
          </w:tcPr>
          <w:p w14:paraId="6D729919" w14:textId="77777777" w:rsidR="00D22C6D" w:rsidRPr="00424CC3" w:rsidRDefault="00D22C6D" w:rsidP="009323ED">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Additional Tier 1 capital (AT1)</w:t>
            </w:r>
          </w:p>
        </w:tc>
        <w:tc>
          <w:tcPr>
            <w:tcW w:w="1620" w:type="dxa"/>
            <w:tcBorders>
              <w:top w:val="nil"/>
              <w:left w:val="nil"/>
              <w:bottom w:val="single" w:sz="4" w:space="0" w:color="000000"/>
              <w:right w:val="single" w:sz="4" w:space="0" w:color="000000"/>
            </w:tcBorders>
            <w:shd w:val="clear" w:color="000000" w:fill="FFFFFF"/>
            <w:hideMark/>
          </w:tcPr>
          <w:p w14:paraId="60685110"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D22C6D" w:rsidRPr="00864AD4" w14:paraId="65485B9C"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579BD5E4"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45</w:t>
            </w:r>
          </w:p>
        </w:tc>
        <w:tc>
          <w:tcPr>
            <w:tcW w:w="7788" w:type="dxa"/>
            <w:tcBorders>
              <w:top w:val="nil"/>
              <w:left w:val="nil"/>
              <w:bottom w:val="single" w:sz="4" w:space="0" w:color="000000"/>
              <w:right w:val="single" w:sz="4" w:space="0" w:color="000000"/>
            </w:tcBorders>
            <w:shd w:val="clear" w:color="000000" w:fill="D9D9D9"/>
            <w:hideMark/>
          </w:tcPr>
          <w:p w14:paraId="1069704F" w14:textId="77777777" w:rsidR="00D22C6D" w:rsidRPr="00864AD4" w:rsidRDefault="00D22C6D" w:rsidP="009323ED">
            <w:pPr>
              <w:spacing w:before="60"/>
              <w:jc w:val="left"/>
              <w:rPr>
                <w:rFonts w:ascii="Arial" w:hAnsi="Arial" w:cs="Arial"/>
                <w:b/>
                <w:bCs/>
                <w:color w:val="000000"/>
                <w:sz w:val="16"/>
                <w:szCs w:val="16"/>
                <w:lang w:val="fr-FR" w:eastAsia="en-US"/>
              </w:rPr>
            </w:pPr>
            <w:r w:rsidRPr="00424CC3">
              <w:rPr>
                <w:rFonts w:ascii="Arial" w:hAnsi="Arial" w:cs="Arial"/>
                <w:b/>
                <w:bCs/>
                <w:color w:val="000000"/>
                <w:sz w:val="16"/>
                <w:szCs w:val="16"/>
                <w:lang w:val="fr-FR" w:eastAsia="en-US"/>
              </w:rPr>
              <w:t>Tier 1 capital (T1 = CET1 + AT1)</w:t>
            </w:r>
          </w:p>
        </w:tc>
        <w:tc>
          <w:tcPr>
            <w:tcW w:w="1620" w:type="dxa"/>
            <w:tcBorders>
              <w:top w:val="nil"/>
              <w:left w:val="nil"/>
              <w:bottom w:val="single" w:sz="4" w:space="0" w:color="000000"/>
              <w:right w:val="single" w:sz="4" w:space="0" w:color="000000"/>
            </w:tcBorders>
            <w:shd w:val="clear" w:color="000000" w:fill="FFFFFF"/>
            <w:hideMark/>
          </w:tcPr>
          <w:p w14:paraId="3806506E" w14:textId="19A9BC57" w:rsidR="00D22C6D" w:rsidRPr="00216C30" w:rsidRDefault="00DA343E">
            <w:pPr>
              <w:jc w:val="right"/>
              <w:rPr>
                <w:rFonts w:ascii="Arial" w:hAnsi="Arial" w:cs="Arial"/>
                <w:b/>
                <w:color w:val="000000"/>
                <w:sz w:val="20"/>
                <w:szCs w:val="20"/>
              </w:rPr>
            </w:pPr>
            <w:r w:rsidRPr="00216C30">
              <w:rPr>
                <w:rFonts w:ascii="Arial" w:hAnsi="Arial" w:cs="Arial"/>
                <w:b/>
                <w:color w:val="000000"/>
                <w:sz w:val="20"/>
                <w:szCs w:val="20"/>
              </w:rPr>
              <w:t>2</w:t>
            </w:r>
            <w:r w:rsidR="00EC5139">
              <w:rPr>
                <w:rFonts w:ascii="Arial" w:hAnsi="Arial" w:cs="Arial"/>
                <w:b/>
                <w:color w:val="000000"/>
                <w:sz w:val="20"/>
                <w:szCs w:val="20"/>
              </w:rPr>
              <w:t>61,834</w:t>
            </w:r>
          </w:p>
        </w:tc>
      </w:tr>
      <w:tr w:rsidR="00D22C6D" w:rsidRPr="00864AD4" w14:paraId="44127BE1"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23EF4CBC"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51</w:t>
            </w:r>
          </w:p>
        </w:tc>
        <w:tc>
          <w:tcPr>
            <w:tcW w:w="7788" w:type="dxa"/>
            <w:tcBorders>
              <w:top w:val="single" w:sz="4" w:space="0" w:color="000000"/>
              <w:left w:val="nil"/>
              <w:bottom w:val="single" w:sz="4" w:space="0" w:color="000000"/>
              <w:right w:val="single" w:sz="4" w:space="0" w:color="000000"/>
            </w:tcBorders>
            <w:shd w:val="clear" w:color="000000" w:fill="FFFFFF"/>
            <w:hideMark/>
          </w:tcPr>
          <w:p w14:paraId="2E5F92B4" w14:textId="77777777" w:rsidR="00D22C6D" w:rsidRPr="00424CC3" w:rsidRDefault="00D22C6D" w:rsidP="009323ED">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Tier 2 capital before regulatory adjustments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238BC508" w14:textId="78D9EB24" w:rsidR="00D22C6D" w:rsidRPr="00216C30" w:rsidRDefault="00DA343E" w:rsidP="00BF06CD">
            <w:pPr>
              <w:jc w:val="right"/>
              <w:rPr>
                <w:rFonts w:ascii="Arial" w:hAnsi="Arial" w:cs="Arial"/>
                <w:sz w:val="20"/>
                <w:lang w:val="en-US"/>
              </w:rPr>
            </w:pPr>
            <w:r w:rsidRPr="00216C30">
              <w:rPr>
                <w:rFonts w:ascii="Arial" w:hAnsi="Arial" w:cs="Arial"/>
                <w:sz w:val="20"/>
                <w:lang w:val="en-US"/>
              </w:rPr>
              <w:t>1</w:t>
            </w:r>
            <w:r w:rsidR="00540A71">
              <w:rPr>
                <w:rFonts w:ascii="Arial" w:hAnsi="Arial" w:cs="Arial"/>
                <w:sz w:val="20"/>
                <w:lang w:val="en-US"/>
              </w:rPr>
              <w:t>3,</w:t>
            </w:r>
            <w:r w:rsidR="00EC5139">
              <w:rPr>
                <w:rFonts w:ascii="Arial" w:hAnsi="Arial" w:cs="Arial"/>
                <w:sz w:val="20"/>
                <w:lang w:val="en-US"/>
              </w:rPr>
              <w:t>763</w:t>
            </w:r>
          </w:p>
        </w:tc>
      </w:tr>
      <w:tr w:rsidR="00D22C6D" w:rsidRPr="00864AD4" w14:paraId="7C62ADD8"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14273484"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57</w:t>
            </w:r>
          </w:p>
        </w:tc>
        <w:tc>
          <w:tcPr>
            <w:tcW w:w="7788" w:type="dxa"/>
            <w:tcBorders>
              <w:top w:val="single" w:sz="4" w:space="0" w:color="000000"/>
              <w:left w:val="nil"/>
              <w:bottom w:val="single" w:sz="4" w:space="0" w:color="000000"/>
              <w:right w:val="single" w:sz="4" w:space="0" w:color="000000"/>
            </w:tcBorders>
            <w:shd w:val="clear" w:color="000000" w:fill="D9D9D9"/>
            <w:hideMark/>
          </w:tcPr>
          <w:p w14:paraId="3F167442" w14:textId="77777777" w:rsidR="00D22C6D" w:rsidRPr="00424CC3" w:rsidRDefault="00D22C6D" w:rsidP="009323ED">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Total regulatory adjustments to Tier 2 capital</w:t>
            </w:r>
          </w:p>
        </w:tc>
        <w:tc>
          <w:tcPr>
            <w:tcW w:w="1620" w:type="dxa"/>
            <w:tcBorders>
              <w:top w:val="single" w:sz="4" w:space="0" w:color="000000"/>
              <w:left w:val="nil"/>
              <w:bottom w:val="single" w:sz="4" w:space="0" w:color="000000"/>
              <w:right w:val="single" w:sz="4" w:space="0" w:color="000000"/>
            </w:tcBorders>
            <w:shd w:val="clear" w:color="000000" w:fill="FFFFFF"/>
            <w:hideMark/>
          </w:tcPr>
          <w:p w14:paraId="5B76ECAE" w14:textId="77777777" w:rsidR="00D22C6D" w:rsidRPr="00216C30" w:rsidRDefault="00D22C6D" w:rsidP="005E1467">
            <w:pPr>
              <w:jc w:val="right"/>
              <w:rPr>
                <w:rFonts w:ascii="Arial" w:hAnsi="Arial" w:cs="Arial"/>
                <w:sz w:val="20"/>
                <w:szCs w:val="20"/>
                <w:lang w:val="en-US" w:eastAsia="en-US"/>
              </w:rPr>
            </w:pPr>
            <w:r w:rsidRPr="00216C30">
              <w:rPr>
                <w:rFonts w:ascii="Arial" w:hAnsi="Arial" w:cs="Arial"/>
                <w:sz w:val="20"/>
                <w:szCs w:val="20"/>
                <w:lang w:val="en-US" w:eastAsia="en-US"/>
              </w:rPr>
              <w:t> </w:t>
            </w:r>
          </w:p>
        </w:tc>
      </w:tr>
      <w:tr w:rsidR="00BF06CD" w:rsidRPr="00864AD4" w14:paraId="43CA1894" w14:textId="77777777" w:rsidTr="00F762BF">
        <w:trPr>
          <w:trHeight w:val="266"/>
        </w:trPr>
        <w:tc>
          <w:tcPr>
            <w:tcW w:w="582" w:type="dxa"/>
            <w:tcBorders>
              <w:top w:val="nil"/>
              <w:left w:val="single" w:sz="4" w:space="0" w:color="000000"/>
              <w:bottom w:val="single" w:sz="4" w:space="0" w:color="000000"/>
              <w:right w:val="nil"/>
            </w:tcBorders>
            <w:shd w:val="clear" w:color="000000" w:fill="FFFFFF"/>
            <w:hideMark/>
          </w:tcPr>
          <w:p w14:paraId="70B4211D" w14:textId="77777777" w:rsidR="00BF06CD" w:rsidRPr="00864AD4" w:rsidRDefault="00BF06C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58</w:t>
            </w:r>
          </w:p>
        </w:tc>
        <w:tc>
          <w:tcPr>
            <w:tcW w:w="7788" w:type="dxa"/>
            <w:tcBorders>
              <w:top w:val="single" w:sz="4" w:space="0" w:color="000000"/>
              <w:left w:val="single" w:sz="4" w:space="0" w:color="auto"/>
              <w:bottom w:val="single" w:sz="4" w:space="0" w:color="auto"/>
              <w:right w:val="single" w:sz="4" w:space="0" w:color="auto"/>
            </w:tcBorders>
            <w:shd w:val="clear" w:color="000000" w:fill="D9D9D9"/>
            <w:hideMark/>
          </w:tcPr>
          <w:p w14:paraId="49675A3C" w14:textId="77777777" w:rsidR="00BF06CD" w:rsidRPr="00424CC3" w:rsidRDefault="00BF06CD" w:rsidP="00F762BF">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Tier 2 capital (T2)</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CFD7DA6" w14:textId="00E8E6C2" w:rsidR="00BF06CD" w:rsidRPr="00216C30" w:rsidRDefault="00540A71">
            <w:pPr>
              <w:jc w:val="right"/>
              <w:rPr>
                <w:rFonts w:ascii="Arial" w:hAnsi="Arial" w:cs="Arial"/>
                <w:b/>
                <w:color w:val="000000"/>
                <w:sz w:val="20"/>
                <w:szCs w:val="20"/>
              </w:rPr>
            </w:pPr>
            <w:r>
              <w:rPr>
                <w:rFonts w:ascii="Arial" w:hAnsi="Arial" w:cs="Arial"/>
                <w:b/>
                <w:color w:val="000000"/>
                <w:sz w:val="20"/>
                <w:szCs w:val="20"/>
              </w:rPr>
              <w:t>13,</w:t>
            </w:r>
            <w:r w:rsidR="00EC5139">
              <w:rPr>
                <w:rFonts w:ascii="Arial" w:hAnsi="Arial" w:cs="Arial"/>
                <w:b/>
                <w:color w:val="000000"/>
                <w:sz w:val="20"/>
                <w:szCs w:val="20"/>
              </w:rPr>
              <w:t>763</w:t>
            </w:r>
          </w:p>
        </w:tc>
      </w:tr>
      <w:tr w:rsidR="00DA343E" w:rsidRPr="00864AD4" w14:paraId="150843E2" w14:textId="77777777" w:rsidTr="00D22C6D">
        <w:trPr>
          <w:trHeight w:val="266"/>
        </w:trPr>
        <w:tc>
          <w:tcPr>
            <w:tcW w:w="582" w:type="dxa"/>
            <w:tcBorders>
              <w:top w:val="nil"/>
              <w:left w:val="single" w:sz="4" w:space="0" w:color="000000"/>
              <w:bottom w:val="single" w:sz="4" w:space="0" w:color="000000"/>
              <w:right w:val="nil"/>
            </w:tcBorders>
            <w:shd w:val="clear" w:color="000000" w:fill="FFFFFF"/>
            <w:hideMark/>
          </w:tcPr>
          <w:p w14:paraId="3B1DC659" w14:textId="77777777" w:rsidR="00DA343E" w:rsidRPr="00864AD4" w:rsidRDefault="00DA343E"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59</w:t>
            </w:r>
          </w:p>
        </w:tc>
        <w:tc>
          <w:tcPr>
            <w:tcW w:w="7788" w:type="dxa"/>
            <w:tcBorders>
              <w:top w:val="nil"/>
              <w:left w:val="single" w:sz="4" w:space="0" w:color="auto"/>
              <w:bottom w:val="single" w:sz="4" w:space="0" w:color="auto"/>
              <w:right w:val="single" w:sz="4" w:space="0" w:color="auto"/>
            </w:tcBorders>
            <w:shd w:val="clear" w:color="000000" w:fill="D9D9D9"/>
            <w:hideMark/>
          </w:tcPr>
          <w:p w14:paraId="004F2358" w14:textId="77777777" w:rsidR="00DA343E" w:rsidRPr="00424CC3" w:rsidRDefault="00DA343E" w:rsidP="00F762BF">
            <w:pPr>
              <w:spacing w:before="60"/>
              <w:jc w:val="left"/>
              <w:rPr>
                <w:rFonts w:ascii="Arial" w:hAnsi="Arial" w:cs="Arial"/>
                <w:b/>
                <w:bCs/>
                <w:color w:val="000000"/>
                <w:sz w:val="16"/>
                <w:szCs w:val="16"/>
                <w:lang w:val="fr-FR" w:eastAsia="en-US"/>
              </w:rPr>
            </w:pPr>
            <w:r w:rsidRPr="00424CC3">
              <w:rPr>
                <w:rFonts w:ascii="Arial" w:hAnsi="Arial" w:cs="Arial"/>
                <w:b/>
                <w:bCs/>
                <w:color w:val="000000"/>
                <w:sz w:val="16"/>
                <w:szCs w:val="16"/>
                <w:lang w:val="fr-FR" w:eastAsia="en-US"/>
              </w:rPr>
              <w:t>Total capital (TC = T1 + T2)</w:t>
            </w:r>
          </w:p>
        </w:tc>
        <w:tc>
          <w:tcPr>
            <w:tcW w:w="1620" w:type="dxa"/>
            <w:tcBorders>
              <w:top w:val="nil"/>
              <w:left w:val="nil"/>
              <w:bottom w:val="single" w:sz="4" w:space="0" w:color="000000"/>
              <w:right w:val="single" w:sz="4" w:space="0" w:color="000000"/>
            </w:tcBorders>
            <w:shd w:val="clear" w:color="000000" w:fill="FFFFFF"/>
            <w:hideMark/>
          </w:tcPr>
          <w:p w14:paraId="770BA6BB" w14:textId="640F8D28" w:rsidR="00DA343E" w:rsidRPr="00216C30" w:rsidRDefault="00540A71">
            <w:pPr>
              <w:jc w:val="right"/>
              <w:rPr>
                <w:rFonts w:ascii="Arial" w:hAnsi="Arial" w:cs="Arial"/>
                <w:b/>
                <w:color w:val="000000"/>
                <w:sz w:val="20"/>
                <w:szCs w:val="20"/>
              </w:rPr>
            </w:pPr>
            <w:r>
              <w:rPr>
                <w:rFonts w:ascii="Arial" w:hAnsi="Arial" w:cs="Arial"/>
                <w:b/>
                <w:color w:val="000000"/>
                <w:sz w:val="20"/>
                <w:szCs w:val="20"/>
              </w:rPr>
              <w:t>27</w:t>
            </w:r>
            <w:r w:rsidR="00EC5139">
              <w:rPr>
                <w:rFonts w:ascii="Arial" w:hAnsi="Arial" w:cs="Arial"/>
                <w:b/>
                <w:color w:val="000000"/>
                <w:sz w:val="20"/>
                <w:szCs w:val="20"/>
              </w:rPr>
              <w:t>5,598</w:t>
            </w:r>
          </w:p>
        </w:tc>
      </w:tr>
      <w:tr w:rsidR="00DA343E" w:rsidRPr="00864AD4" w14:paraId="5EC0AC34"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7920DED5" w14:textId="77777777" w:rsidR="00DA343E" w:rsidRPr="00864AD4" w:rsidRDefault="00DA343E" w:rsidP="00F762BF">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60</w:t>
            </w:r>
          </w:p>
        </w:tc>
        <w:tc>
          <w:tcPr>
            <w:tcW w:w="7788" w:type="dxa"/>
            <w:tcBorders>
              <w:top w:val="nil"/>
              <w:left w:val="nil"/>
              <w:bottom w:val="single" w:sz="4" w:space="0" w:color="000000"/>
              <w:right w:val="single" w:sz="4" w:space="0" w:color="000000"/>
            </w:tcBorders>
            <w:shd w:val="clear" w:color="000000" w:fill="D9D9D9"/>
            <w:hideMark/>
          </w:tcPr>
          <w:p w14:paraId="7D11983F" w14:textId="77777777" w:rsidR="00DA343E" w:rsidRPr="00424CC3" w:rsidRDefault="00DA343E" w:rsidP="00F762BF">
            <w:pPr>
              <w:spacing w:before="60"/>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Total risk-weighted assets</w:t>
            </w:r>
          </w:p>
        </w:tc>
        <w:tc>
          <w:tcPr>
            <w:tcW w:w="1620" w:type="dxa"/>
            <w:tcBorders>
              <w:top w:val="nil"/>
              <w:left w:val="nil"/>
              <w:bottom w:val="single" w:sz="4" w:space="0" w:color="000000"/>
              <w:right w:val="single" w:sz="4" w:space="0" w:color="000000"/>
            </w:tcBorders>
            <w:shd w:val="clear" w:color="000000" w:fill="FFFFFF"/>
            <w:hideMark/>
          </w:tcPr>
          <w:p w14:paraId="270AA74B" w14:textId="4CE8DA27" w:rsidR="00DA343E" w:rsidRPr="00216C30" w:rsidRDefault="00DA343E">
            <w:pPr>
              <w:jc w:val="right"/>
              <w:rPr>
                <w:rFonts w:ascii="Arial" w:hAnsi="Arial" w:cs="Arial"/>
                <w:b/>
                <w:color w:val="000000"/>
                <w:sz w:val="20"/>
                <w:szCs w:val="20"/>
              </w:rPr>
            </w:pPr>
            <w:r w:rsidRPr="00216C30">
              <w:rPr>
                <w:rFonts w:ascii="Arial" w:hAnsi="Arial" w:cs="Arial"/>
                <w:b/>
                <w:color w:val="000000"/>
                <w:sz w:val="20"/>
                <w:szCs w:val="20"/>
              </w:rPr>
              <w:t>1,</w:t>
            </w:r>
            <w:r w:rsidR="00EC5139">
              <w:rPr>
                <w:rFonts w:ascii="Arial" w:hAnsi="Arial" w:cs="Arial"/>
                <w:b/>
                <w:color w:val="000000"/>
                <w:sz w:val="20"/>
                <w:szCs w:val="20"/>
              </w:rPr>
              <w:t>609,926</w:t>
            </w:r>
          </w:p>
        </w:tc>
      </w:tr>
      <w:tr w:rsidR="00DA343E" w:rsidRPr="00864AD4" w14:paraId="5813F4E9"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209B3D6E" w14:textId="77777777" w:rsidR="00DA343E" w:rsidRPr="00864AD4" w:rsidRDefault="00DA343E"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61</w:t>
            </w:r>
          </w:p>
        </w:tc>
        <w:tc>
          <w:tcPr>
            <w:tcW w:w="7788" w:type="dxa"/>
            <w:tcBorders>
              <w:top w:val="single" w:sz="4" w:space="0" w:color="000000"/>
              <w:left w:val="nil"/>
              <w:bottom w:val="nil"/>
              <w:right w:val="single" w:sz="4" w:space="0" w:color="000000"/>
            </w:tcBorders>
            <w:shd w:val="clear" w:color="000000" w:fill="D9D9D9"/>
            <w:hideMark/>
          </w:tcPr>
          <w:p w14:paraId="7E906612" w14:textId="77777777" w:rsidR="00DA343E" w:rsidRPr="00424CC3" w:rsidRDefault="00DA343E" w:rsidP="00F762BF">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Common Equity Tier 1 (as percentage of risk-weighted assets)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04A8BAD3" w14:textId="45742C2C" w:rsidR="00DA343E" w:rsidRPr="00216C30" w:rsidRDefault="00DA343E">
            <w:pPr>
              <w:jc w:val="right"/>
              <w:rPr>
                <w:rFonts w:ascii="Arial" w:hAnsi="Arial" w:cs="Arial"/>
                <w:color w:val="000000"/>
                <w:sz w:val="20"/>
                <w:szCs w:val="20"/>
              </w:rPr>
            </w:pPr>
            <w:r w:rsidRPr="00216C30">
              <w:rPr>
                <w:rFonts w:ascii="Arial" w:hAnsi="Arial" w:cs="Arial"/>
                <w:color w:val="000000"/>
                <w:sz w:val="20"/>
                <w:szCs w:val="20"/>
              </w:rPr>
              <w:t xml:space="preserve">           1</w:t>
            </w:r>
            <w:r w:rsidR="00540A71">
              <w:rPr>
                <w:rFonts w:ascii="Arial" w:hAnsi="Arial" w:cs="Arial"/>
                <w:color w:val="000000"/>
                <w:sz w:val="20"/>
                <w:szCs w:val="20"/>
              </w:rPr>
              <w:t>6.</w:t>
            </w:r>
            <w:r w:rsidR="00EC5139">
              <w:rPr>
                <w:rFonts w:ascii="Arial" w:hAnsi="Arial" w:cs="Arial"/>
                <w:color w:val="000000"/>
                <w:sz w:val="20"/>
                <w:szCs w:val="20"/>
              </w:rPr>
              <w:t>26</w:t>
            </w:r>
            <w:r w:rsidRPr="00216C30">
              <w:rPr>
                <w:rFonts w:ascii="Arial" w:hAnsi="Arial" w:cs="Arial"/>
                <w:color w:val="000000"/>
                <w:sz w:val="20"/>
                <w:szCs w:val="20"/>
              </w:rPr>
              <w:t xml:space="preserve"> </w:t>
            </w:r>
          </w:p>
        </w:tc>
      </w:tr>
      <w:tr w:rsidR="00DA343E" w:rsidRPr="00864AD4" w14:paraId="02B7474C" w14:textId="77777777" w:rsidTr="00D22C6D">
        <w:trPr>
          <w:trHeight w:val="266"/>
        </w:trPr>
        <w:tc>
          <w:tcPr>
            <w:tcW w:w="582" w:type="dxa"/>
            <w:tcBorders>
              <w:top w:val="nil"/>
              <w:left w:val="single" w:sz="4" w:space="0" w:color="000000"/>
              <w:bottom w:val="single" w:sz="4" w:space="0" w:color="000000"/>
              <w:right w:val="nil"/>
            </w:tcBorders>
            <w:shd w:val="clear" w:color="000000" w:fill="FFFFFF"/>
            <w:hideMark/>
          </w:tcPr>
          <w:p w14:paraId="10A77AB2" w14:textId="77777777" w:rsidR="00DA343E" w:rsidRPr="00864AD4" w:rsidRDefault="00DA343E"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62</w:t>
            </w:r>
          </w:p>
        </w:tc>
        <w:tc>
          <w:tcPr>
            <w:tcW w:w="7788" w:type="dxa"/>
            <w:tcBorders>
              <w:top w:val="single" w:sz="4" w:space="0" w:color="auto"/>
              <w:left w:val="single" w:sz="4" w:space="0" w:color="auto"/>
              <w:bottom w:val="single" w:sz="4" w:space="0" w:color="auto"/>
              <w:right w:val="single" w:sz="4" w:space="0" w:color="auto"/>
            </w:tcBorders>
            <w:shd w:val="clear" w:color="000000" w:fill="D9D9D9"/>
            <w:hideMark/>
          </w:tcPr>
          <w:p w14:paraId="041AAF4C" w14:textId="77777777" w:rsidR="00DA343E" w:rsidRPr="00424CC3" w:rsidRDefault="00DA343E" w:rsidP="00F762BF">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Tier 1 (as percentage of risk-weighted assets)</w:t>
            </w:r>
          </w:p>
        </w:tc>
        <w:tc>
          <w:tcPr>
            <w:tcW w:w="1620" w:type="dxa"/>
            <w:tcBorders>
              <w:top w:val="nil"/>
              <w:left w:val="nil"/>
              <w:bottom w:val="single" w:sz="4" w:space="0" w:color="000000"/>
              <w:right w:val="single" w:sz="4" w:space="0" w:color="000000"/>
            </w:tcBorders>
            <w:shd w:val="clear" w:color="000000" w:fill="FFFFFF"/>
            <w:hideMark/>
          </w:tcPr>
          <w:p w14:paraId="0EC3A5AB" w14:textId="24E7A707" w:rsidR="00DA343E" w:rsidRPr="00216C30" w:rsidRDefault="00DA343E">
            <w:pPr>
              <w:jc w:val="right"/>
              <w:rPr>
                <w:rFonts w:ascii="Arial" w:hAnsi="Arial" w:cs="Arial"/>
                <w:color w:val="000000"/>
                <w:sz w:val="20"/>
                <w:szCs w:val="20"/>
              </w:rPr>
            </w:pPr>
            <w:r w:rsidRPr="00216C30">
              <w:rPr>
                <w:rFonts w:ascii="Arial" w:hAnsi="Arial" w:cs="Arial"/>
                <w:color w:val="000000"/>
                <w:sz w:val="20"/>
                <w:szCs w:val="20"/>
              </w:rPr>
              <w:t xml:space="preserve">           1</w:t>
            </w:r>
            <w:r w:rsidR="00540A71">
              <w:rPr>
                <w:rFonts w:ascii="Arial" w:hAnsi="Arial" w:cs="Arial"/>
                <w:color w:val="000000"/>
                <w:sz w:val="20"/>
                <w:szCs w:val="20"/>
              </w:rPr>
              <w:t>6.</w:t>
            </w:r>
            <w:r w:rsidR="00EC5139">
              <w:rPr>
                <w:rFonts w:ascii="Arial" w:hAnsi="Arial" w:cs="Arial"/>
                <w:color w:val="000000"/>
                <w:sz w:val="20"/>
                <w:szCs w:val="20"/>
              </w:rPr>
              <w:t>26</w:t>
            </w:r>
            <w:r w:rsidRPr="00216C30">
              <w:rPr>
                <w:rFonts w:ascii="Arial" w:hAnsi="Arial" w:cs="Arial"/>
                <w:color w:val="000000"/>
                <w:sz w:val="20"/>
                <w:szCs w:val="20"/>
              </w:rPr>
              <w:t xml:space="preserve"> </w:t>
            </w:r>
          </w:p>
        </w:tc>
      </w:tr>
      <w:tr w:rsidR="00DA343E" w:rsidRPr="00864AD4" w14:paraId="3E3DA044" w14:textId="77777777" w:rsidTr="00622367">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4C36EE99" w14:textId="77777777" w:rsidR="00DA343E" w:rsidRPr="00864AD4" w:rsidRDefault="00DA343E"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63</w:t>
            </w:r>
          </w:p>
        </w:tc>
        <w:tc>
          <w:tcPr>
            <w:tcW w:w="7788" w:type="dxa"/>
            <w:tcBorders>
              <w:top w:val="nil"/>
              <w:left w:val="nil"/>
              <w:bottom w:val="single" w:sz="4" w:space="0" w:color="000000"/>
              <w:right w:val="single" w:sz="4" w:space="0" w:color="000000"/>
            </w:tcBorders>
            <w:shd w:val="clear" w:color="000000" w:fill="D9D9D9"/>
            <w:hideMark/>
          </w:tcPr>
          <w:p w14:paraId="726C4211" w14:textId="77777777" w:rsidR="00DA343E" w:rsidRPr="00424CC3" w:rsidRDefault="00DA343E" w:rsidP="00F762BF">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 xml:space="preserve">Total </w:t>
            </w:r>
            <w:proofErr w:type="gramStart"/>
            <w:r w:rsidRPr="00424CC3">
              <w:rPr>
                <w:rFonts w:ascii="Arial" w:hAnsi="Arial" w:cs="Arial"/>
                <w:color w:val="000000"/>
                <w:sz w:val="16"/>
                <w:szCs w:val="16"/>
                <w:lang w:val="en-US" w:eastAsia="en-US"/>
              </w:rPr>
              <w:t>capital  (</w:t>
            </w:r>
            <w:proofErr w:type="gramEnd"/>
            <w:r w:rsidRPr="00424CC3">
              <w:rPr>
                <w:rFonts w:ascii="Arial" w:hAnsi="Arial" w:cs="Arial"/>
                <w:color w:val="000000"/>
                <w:sz w:val="16"/>
                <w:szCs w:val="16"/>
                <w:lang w:val="en-US" w:eastAsia="en-US"/>
              </w:rPr>
              <w:t>as percentage of risk-weighted assets)</w:t>
            </w:r>
          </w:p>
        </w:tc>
        <w:tc>
          <w:tcPr>
            <w:tcW w:w="1620" w:type="dxa"/>
            <w:tcBorders>
              <w:top w:val="nil"/>
              <w:left w:val="nil"/>
              <w:bottom w:val="single" w:sz="4" w:space="0" w:color="000000"/>
              <w:right w:val="single" w:sz="4" w:space="0" w:color="000000"/>
            </w:tcBorders>
            <w:shd w:val="clear" w:color="000000" w:fill="FFFFFF"/>
            <w:hideMark/>
          </w:tcPr>
          <w:p w14:paraId="3E2F78E4" w14:textId="26EF268E" w:rsidR="00DA343E" w:rsidRPr="00216C30" w:rsidRDefault="00DA343E">
            <w:pPr>
              <w:jc w:val="right"/>
              <w:rPr>
                <w:rFonts w:ascii="Arial" w:hAnsi="Arial" w:cs="Arial"/>
                <w:color w:val="000000"/>
                <w:sz w:val="20"/>
                <w:szCs w:val="20"/>
              </w:rPr>
            </w:pPr>
            <w:r w:rsidRPr="00216C30">
              <w:rPr>
                <w:rFonts w:ascii="Arial" w:hAnsi="Arial" w:cs="Arial"/>
                <w:color w:val="000000"/>
                <w:sz w:val="20"/>
                <w:szCs w:val="20"/>
              </w:rPr>
              <w:t xml:space="preserve">           1</w:t>
            </w:r>
            <w:r w:rsidR="00540A71">
              <w:rPr>
                <w:rFonts w:ascii="Arial" w:hAnsi="Arial" w:cs="Arial"/>
                <w:color w:val="000000"/>
                <w:sz w:val="20"/>
                <w:szCs w:val="20"/>
              </w:rPr>
              <w:t>7.</w:t>
            </w:r>
            <w:r w:rsidR="00EC5139">
              <w:rPr>
                <w:rFonts w:ascii="Arial" w:hAnsi="Arial" w:cs="Arial"/>
                <w:color w:val="000000"/>
                <w:sz w:val="20"/>
                <w:szCs w:val="20"/>
              </w:rPr>
              <w:t>12</w:t>
            </w:r>
            <w:r w:rsidRPr="00216C30">
              <w:rPr>
                <w:rFonts w:ascii="Arial" w:hAnsi="Arial" w:cs="Arial"/>
                <w:color w:val="000000"/>
                <w:sz w:val="20"/>
                <w:szCs w:val="20"/>
              </w:rPr>
              <w:t xml:space="preserve"> </w:t>
            </w:r>
          </w:p>
        </w:tc>
      </w:tr>
      <w:tr w:rsidR="00D22C6D" w:rsidRPr="00864AD4" w14:paraId="6BB26503" w14:textId="77777777" w:rsidTr="00622367">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5D3A1795"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69</w:t>
            </w:r>
          </w:p>
        </w:tc>
        <w:tc>
          <w:tcPr>
            <w:tcW w:w="7788" w:type="dxa"/>
            <w:tcBorders>
              <w:top w:val="single" w:sz="4" w:space="0" w:color="000000"/>
              <w:left w:val="nil"/>
              <w:bottom w:val="single" w:sz="4" w:space="0" w:color="000000"/>
              <w:right w:val="single" w:sz="4" w:space="0" w:color="000000"/>
            </w:tcBorders>
            <w:shd w:val="clear" w:color="000000" w:fill="FFFFFF"/>
            <w:hideMark/>
          </w:tcPr>
          <w:p w14:paraId="18A7A8E4" w14:textId="77777777" w:rsidR="00D22C6D" w:rsidRPr="00424CC3" w:rsidRDefault="00D22C6D" w:rsidP="00F762BF">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Common Equity Tier 1 capital all-in target ratio</w:t>
            </w:r>
          </w:p>
        </w:tc>
        <w:tc>
          <w:tcPr>
            <w:tcW w:w="1620" w:type="dxa"/>
            <w:tcBorders>
              <w:top w:val="nil"/>
              <w:left w:val="nil"/>
              <w:bottom w:val="single" w:sz="4" w:space="0" w:color="000000"/>
              <w:right w:val="single" w:sz="4" w:space="0" w:color="000000"/>
            </w:tcBorders>
            <w:shd w:val="clear" w:color="000000" w:fill="FFFFFF"/>
            <w:hideMark/>
          </w:tcPr>
          <w:p w14:paraId="7306ECAC" w14:textId="77777777" w:rsidR="00D22C6D" w:rsidRPr="00216C30" w:rsidRDefault="00D22C6D" w:rsidP="00F762BF">
            <w:pPr>
              <w:jc w:val="right"/>
              <w:rPr>
                <w:rFonts w:ascii="Arial" w:hAnsi="Arial" w:cs="Arial"/>
                <w:sz w:val="20"/>
                <w:szCs w:val="20"/>
                <w:lang w:val="en-US" w:eastAsia="en-US"/>
              </w:rPr>
            </w:pPr>
            <w:r w:rsidRPr="00216C30">
              <w:rPr>
                <w:rFonts w:ascii="Arial" w:hAnsi="Arial" w:cs="Arial"/>
                <w:sz w:val="20"/>
                <w:szCs w:val="20"/>
                <w:lang w:val="en-US" w:eastAsia="en-US"/>
              </w:rPr>
              <w:t>7.0</w:t>
            </w:r>
          </w:p>
        </w:tc>
      </w:tr>
      <w:tr w:rsidR="00D22C6D" w:rsidRPr="00864AD4" w14:paraId="3E6B645B"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35DA1EE6"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70</w:t>
            </w:r>
          </w:p>
        </w:tc>
        <w:tc>
          <w:tcPr>
            <w:tcW w:w="7788" w:type="dxa"/>
            <w:tcBorders>
              <w:top w:val="nil"/>
              <w:left w:val="nil"/>
              <w:bottom w:val="single" w:sz="4" w:space="0" w:color="000000"/>
              <w:right w:val="single" w:sz="4" w:space="0" w:color="000000"/>
            </w:tcBorders>
            <w:shd w:val="clear" w:color="000000" w:fill="FFFFFF"/>
            <w:hideMark/>
          </w:tcPr>
          <w:p w14:paraId="0BE02C4F" w14:textId="77777777" w:rsidR="00D22C6D" w:rsidRPr="00424CC3" w:rsidRDefault="00D22C6D" w:rsidP="00F762BF">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Tier 1 capital all-in target ratio</w:t>
            </w:r>
          </w:p>
        </w:tc>
        <w:tc>
          <w:tcPr>
            <w:tcW w:w="1620" w:type="dxa"/>
            <w:tcBorders>
              <w:top w:val="nil"/>
              <w:left w:val="nil"/>
              <w:bottom w:val="single" w:sz="4" w:space="0" w:color="000000"/>
              <w:right w:val="single" w:sz="4" w:space="0" w:color="000000"/>
            </w:tcBorders>
            <w:shd w:val="clear" w:color="000000" w:fill="FFFFFF"/>
            <w:hideMark/>
          </w:tcPr>
          <w:p w14:paraId="32108281" w14:textId="77777777" w:rsidR="00D22C6D" w:rsidRPr="00216C30" w:rsidRDefault="00D22C6D" w:rsidP="00F762BF">
            <w:pPr>
              <w:jc w:val="right"/>
              <w:rPr>
                <w:rFonts w:ascii="Arial" w:hAnsi="Arial" w:cs="Arial"/>
                <w:sz w:val="20"/>
                <w:szCs w:val="20"/>
                <w:lang w:val="en-US" w:eastAsia="en-US"/>
              </w:rPr>
            </w:pPr>
            <w:r w:rsidRPr="00216C30">
              <w:rPr>
                <w:rFonts w:ascii="Arial" w:hAnsi="Arial" w:cs="Arial"/>
                <w:sz w:val="20"/>
                <w:szCs w:val="20"/>
                <w:lang w:val="en-US" w:eastAsia="en-US"/>
              </w:rPr>
              <w:t>8.5</w:t>
            </w:r>
          </w:p>
        </w:tc>
      </w:tr>
      <w:tr w:rsidR="00D22C6D" w:rsidRPr="00864AD4" w14:paraId="1D346A40" w14:textId="77777777" w:rsidTr="00D22C6D">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38F5DA90" w14:textId="77777777" w:rsidR="00D22C6D" w:rsidRPr="00864AD4" w:rsidRDefault="00D22C6D" w:rsidP="009323ED">
            <w:pPr>
              <w:spacing w:before="60"/>
              <w:jc w:val="left"/>
              <w:rPr>
                <w:rFonts w:ascii="Arial" w:hAnsi="Arial" w:cs="Arial"/>
                <w:color w:val="000000"/>
                <w:sz w:val="16"/>
                <w:szCs w:val="16"/>
                <w:lang w:val="en-US" w:eastAsia="en-US"/>
              </w:rPr>
            </w:pPr>
            <w:r w:rsidRPr="00864AD4">
              <w:rPr>
                <w:rFonts w:ascii="Arial" w:hAnsi="Arial" w:cs="Arial"/>
                <w:color w:val="000000"/>
                <w:sz w:val="16"/>
                <w:szCs w:val="16"/>
                <w:lang w:val="en-US" w:eastAsia="en-US"/>
              </w:rPr>
              <w:t>71</w:t>
            </w:r>
          </w:p>
        </w:tc>
        <w:tc>
          <w:tcPr>
            <w:tcW w:w="7788" w:type="dxa"/>
            <w:tcBorders>
              <w:top w:val="single" w:sz="4" w:space="0" w:color="000000"/>
              <w:left w:val="nil"/>
              <w:bottom w:val="single" w:sz="4" w:space="0" w:color="000000"/>
              <w:right w:val="single" w:sz="4" w:space="0" w:color="000000"/>
            </w:tcBorders>
            <w:shd w:val="clear" w:color="000000" w:fill="FFFFFF"/>
            <w:hideMark/>
          </w:tcPr>
          <w:p w14:paraId="4ACEA88B" w14:textId="77777777" w:rsidR="00D22C6D" w:rsidRPr="00424CC3" w:rsidRDefault="00D22C6D" w:rsidP="00F762BF">
            <w:pPr>
              <w:spacing w:before="60"/>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Total capital all-in target ratio</w:t>
            </w:r>
          </w:p>
        </w:tc>
        <w:tc>
          <w:tcPr>
            <w:tcW w:w="1620" w:type="dxa"/>
            <w:tcBorders>
              <w:top w:val="single" w:sz="4" w:space="0" w:color="000000"/>
              <w:left w:val="nil"/>
              <w:bottom w:val="single" w:sz="4" w:space="0" w:color="000000"/>
              <w:right w:val="single" w:sz="4" w:space="0" w:color="000000"/>
            </w:tcBorders>
            <w:shd w:val="clear" w:color="000000" w:fill="FFFFFF"/>
            <w:hideMark/>
          </w:tcPr>
          <w:p w14:paraId="7524BB5A" w14:textId="77777777" w:rsidR="00D22C6D" w:rsidRPr="00216C30" w:rsidRDefault="00D22C6D" w:rsidP="00F762BF">
            <w:pPr>
              <w:jc w:val="right"/>
              <w:rPr>
                <w:rFonts w:ascii="Arial" w:hAnsi="Arial" w:cs="Arial"/>
                <w:sz w:val="20"/>
                <w:szCs w:val="20"/>
                <w:lang w:val="en-US" w:eastAsia="en-US"/>
              </w:rPr>
            </w:pPr>
            <w:r w:rsidRPr="00216C30">
              <w:rPr>
                <w:rFonts w:ascii="Arial" w:hAnsi="Arial" w:cs="Arial"/>
                <w:sz w:val="20"/>
                <w:szCs w:val="20"/>
                <w:lang w:val="en-US" w:eastAsia="en-US"/>
              </w:rPr>
              <w:t>10.5</w:t>
            </w:r>
          </w:p>
        </w:tc>
      </w:tr>
    </w:tbl>
    <w:p w14:paraId="7EDCEB25" w14:textId="77777777" w:rsidR="0032369F" w:rsidRDefault="0032369F" w:rsidP="00E53226">
      <w:pPr>
        <w:rPr>
          <w:lang w:val="en-US"/>
        </w:rPr>
      </w:pPr>
    </w:p>
    <w:p w14:paraId="7C35D8BC" w14:textId="77777777" w:rsidR="00B0230E" w:rsidRDefault="00B0230E" w:rsidP="00E53226">
      <w:pPr>
        <w:rPr>
          <w:lang w:val="en-US"/>
        </w:rPr>
      </w:pPr>
    </w:p>
    <w:p w14:paraId="38C88C86" w14:textId="77777777" w:rsidR="00663568" w:rsidRDefault="00663568" w:rsidP="00E53226">
      <w:pPr>
        <w:rPr>
          <w:lang w:val="en-US"/>
        </w:rPr>
      </w:pPr>
    </w:p>
    <w:p w14:paraId="00C3BDA3" w14:textId="77777777" w:rsidR="00D22C6D" w:rsidRDefault="00D22C6D" w:rsidP="00E53226">
      <w:pPr>
        <w:rPr>
          <w:lang w:val="en-US"/>
        </w:rPr>
      </w:pPr>
    </w:p>
    <w:p w14:paraId="704EB83B" w14:textId="77777777" w:rsidR="00D22C6D" w:rsidRDefault="00D22C6D" w:rsidP="00E53226">
      <w:pPr>
        <w:rPr>
          <w:lang w:val="en-US"/>
        </w:rPr>
      </w:pPr>
    </w:p>
    <w:p w14:paraId="16FE9B1C" w14:textId="77777777" w:rsidR="0092040D" w:rsidRDefault="0092040D" w:rsidP="00E53226">
      <w:pPr>
        <w:rPr>
          <w:lang w:val="en-US"/>
        </w:rPr>
      </w:pPr>
    </w:p>
    <w:p w14:paraId="409140F0" w14:textId="77777777" w:rsidR="0092040D" w:rsidRDefault="0092040D" w:rsidP="00E53226">
      <w:pPr>
        <w:rPr>
          <w:lang w:val="en-US"/>
        </w:rPr>
      </w:pPr>
    </w:p>
    <w:p w14:paraId="1F7500C5" w14:textId="77777777" w:rsidR="00F762BF" w:rsidRDefault="00F762BF" w:rsidP="00E53226">
      <w:pPr>
        <w:rPr>
          <w:lang w:val="en-US"/>
        </w:rPr>
      </w:pPr>
    </w:p>
    <w:p w14:paraId="66AB4747" w14:textId="77777777" w:rsidR="00F762BF" w:rsidRDefault="00F762BF" w:rsidP="00E53226">
      <w:pPr>
        <w:rPr>
          <w:lang w:val="en-US"/>
        </w:rPr>
      </w:pPr>
    </w:p>
    <w:p w14:paraId="53DA5418" w14:textId="77777777" w:rsidR="00D22C6D" w:rsidRDefault="00D22C6D" w:rsidP="00E53226">
      <w:pPr>
        <w:rPr>
          <w:lang w:val="en-US"/>
        </w:rPr>
      </w:pPr>
    </w:p>
    <w:tbl>
      <w:tblPr>
        <w:tblW w:w="10144" w:type="dxa"/>
        <w:tblInd w:w="-432" w:type="dxa"/>
        <w:tblLook w:val="04A0" w:firstRow="1" w:lastRow="0" w:firstColumn="1" w:lastColumn="0" w:noHBand="0" w:noVBand="1"/>
      </w:tblPr>
      <w:tblGrid>
        <w:gridCol w:w="591"/>
        <w:gridCol w:w="8173"/>
        <w:gridCol w:w="1380"/>
      </w:tblGrid>
      <w:tr w:rsidR="00663568" w:rsidRPr="00663568" w14:paraId="705125EF" w14:textId="77777777" w:rsidTr="00663568">
        <w:trPr>
          <w:trHeight w:val="370"/>
        </w:trPr>
        <w:tc>
          <w:tcPr>
            <w:tcW w:w="8764" w:type="dxa"/>
            <w:gridSpan w:val="2"/>
            <w:tcBorders>
              <w:top w:val="single" w:sz="8" w:space="0" w:color="000000"/>
              <w:left w:val="single" w:sz="8" w:space="0" w:color="000000"/>
              <w:bottom w:val="single" w:sz="8" w:space="0" w:color="auto"/>
              <w:right w:val="nil"/>
            </w:tcBorders>
            <w:shd w:val="clear" w:color="000000" w:fill="FFFFFF"/>
            <w:vAlign w:val="center"/>
            <w:hideMark/>
          </w:tcPr>
          <w:p w14:paraId="79D90CBC" w14:textId="77777777" w:rsidR="00663568" w:rsidRPr="00216C30" w:rsidRDefault="00663568" w:rsidP="00663568">
            <w:pPr>
              <w:jc w:val="left"/>
              <w:rPr>
                <w:rFonts w:ascii="Arial" w:hAnsi="Arial" w:cs="Arial"/>
                <w:b/>
                <w:bCs/>
                <w:color w:val="000000"/>
                <w:sz w:val="28"/>
                <w:szCs w:val="28"/>
                <w:lang w:val="en-US" w:eastAsia="en-US"/>
              </w:rPr>
            </w:pPr>
            <w:r w:rsidRPr="00216C30">
              <w:rPr>
                <w:rFonts w:ascii="Arial" w:hAnsi="Arial" w:cs="Arial"/>
                <w:b/>
                <w:bCs/>
                <w:color w:val="000000"/>
                <w:sz w:val="28"/>
                <w:szCs w:val="28"/>
                <w:lang w:val="en-US" w:eastAsia="en-US"/>
              </w:rPr>
              <w:lastRenderedPageBreak/>
              <w:t>LEVERAGE RATIO FRAMEWORK</w:t>
            </w:r>
          </w:p>
        </w:tc>
        <w:tc>
          <w:tcPr>
            <w:tcW w:w="1380" w:type="dxa"/>
            <w:tcBorders>
              <w:top w:val="single" w:sz="8" w:space="0" w:color="000000"/>
              <w:left w:val="nil"/>
              <w:bottom w:val="single" w:sz="8" w:space="0" w:color="auto"/>
              <w:right w:val="single" w:sz="8" w:space="0" w:color="000000"/>
            </w:tcBorders>
            <w:shd w:val="clear" w:color="000000" w:fill="FFFFFF"/>
            <w:hideMark/>
          </w:tcPr>
          <w:p w14:paraId="16CA7758" w14:textId="77777777" w:rsidR="00663568" w:rsidRPr="00216C30" w:rsidRDefault="00663568" w:rsidP="00663568">
            <w:pPr>
              <w:jc w:val="center"/>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 </w:t>
            </w:r>
          </w:p>
        </w:tc>
      </w:tr>
      <w:tr w:rsidR="00663568" w:rsidRPr="00663568" w14:paraId="6D8EFB98" w14:textId="77777777" w:rsidTr="00663568">
        <w:trPr>
          <w:trHeight w:val="284"/>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74294027" w14:textId="77777777" w:rsidR="00663568" w:rsidRPr="00864AD4" w:rsidRDefault="00663568"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On-balance sheet exposures</w:t>
            </w:r>
          </w:p>
        </w:tc>
      </w:tr>
      <w:tr w:rsidR="00DA343E" w:rsidRPr="00663568" w14:paraId="48A519A8" w14:textId="77777777" w:rsidTr="00663568">
        <w:trPr>
          <w:trHeight w:val="256"/>
        </w:trPr>
        <w:tc>
          <w:tcPr>
            <w:tcW w:w="591" w:type="dxa"/>
            <w:tcBorders>
              <w:top w:val="nil"/>
              <w:left w:val="single" w:sz="8" w:space="0" w:color="000000"/>
              <w:bottom w:val="single" w:sz="8" w:space="0" w:color="000000"/>
              <w:right w:val="single" w:sz="8" w:space="0" w:color="000000"/>
            </w:tcBorders>
            <w:shd w:val="clear" w:color="000000" w:fill="FFFFFF"/>
            <w:hideMark/>
          </w:tcPr>
          <w:p w14:paraId="2156F7EC" w14:textId="77777777" w:rsidR="00DA343E" w:rsidRPr="00864AD4" w:rsidRDefault="00DA343E"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1</w:t>
            </w:r>
          </w:p>
        </w:tc>
        <w:tc>
          <w:tcPr>
            <w:tcW w:w="8173" w:type="dxa"/>
            <w:tcBorders>
              <w:top w:val="nil"/>
              <w:left w:val="nil"/>
              <w:bottom w:val="single" w:sz="8" w:space="0" w:color="000000"/>
              <w:right w:val="single" w:sz="8" w:space="0" w:color="000000"/>
            </w:tcBorders>
            <w:shd w:val="clear" w:color="000000" w:fill="FFFFFF"/>
            <w:hideMark/>
          </w:tcPr>
          <w:p w14:paraId="2071DC66" w14:textId="77777777" w:rsidR="00DA343E" w:rsidRPr="00864AD4" w:rsidRDefault="00DA343E"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 xml:space="preserve"> On-</w:t>
            </w:r>
            <w:proofErr w:type="gramStart"/>
            <w:r w:rsidRPr="00424CC3">
              <w:rPr>
                <w:rFonts w:ascii="Arial" w:hAnsi="Arial" w:cs="Arial"/>
                <w:color w:val="000000"/>
                <w:sz w:val="16"/>
                <w:szCs w:val="16"/>
                <w:lang w:val="en-US" w:eastAsia="en-US"/>
              </w:rPr>
              <w:t>balance  sheet</w:t>
            </w:r>
            <w:proofErr w:type="gramEnd"/>
            <w:r w:rsidRPr="00424CC3">
              <w:rPr>
                <w:rFonts w:ascii="Arial" w:hAnsi="Arial" w:cs="Arial"/>
                <w:color w:val="000000"/>
                <w:sz w:val="16"/>
                <w:szCs w:val="16"/>
                <w:lang w:val="en-US" w:eastAsia="en-US"/>
              </w:rPr>
              <w:t xml:space="preserve">  items  (excluding  derivatives,  SFTs  and  grandfathered  securitization exposures but including collateral)</w:t>
            </w:r>
          </w:p>
        </w:tc>
        <w:tc>
          <w:tcPr>
            <w:tcW w:w="1380" w:type="dxa"/>
            <w:tcBorders>
              <w:top w:val="nil"/>
              <w:left w:val="nil"/>
              <w:bottom w:val="single" w:sz="8" w:space="0" w:color="000000"/>
              <w:right w:val="single" w:sz="8" w:space="0" w:color="000000"/>
            </w:tcBorders>
            <w:shd w:val="clear" w:color="000000" w:fill="FFFFFF"/>
            <w:hideMark/>
          </w:tcPr>
          <w:p w14:paraId="4B20E95B" w14:textId="0474449E" w:rsidR="00DA343E" w:rsidRPr="00216C30" w:rsidRDefault="00DA343E">
            <w:pPr>
              <w:jc w:val="right"/>
              <w:rPr>
                <w:rFonts w:ascii="Arial" w:hAnsi="Arial" w:cs="Arial"/>
                <w:color w:val="000000"/>
                <w:sz w:val="20"/>
                <w:szCs w:val="20"/>
              </w:rPr>
            </w:pPr>
            <w:r w:rsidRPr="00216C30">
              <w:rPr>
                <w:rFonts w:ascii="Arial" w:hAnsi="Arial" w:cs="Arial"/>
                <w:color w:val="000000"/>
                <w:sz w:val="20"/>
                <w:szCs w:val="20"/>
              </w:rPr>
              <w:t>1,</w:t>
            </w:r>
            <w:r w:rsidR="00EC5139">
              <w:rPr>
                <w:rFonts w:ascii="Arial" w:hAnsi="Arial" w:cs="Arial"/>
                <w:color w:val="000000"/>
                <w:sz w:val="20"/>
                <w:szCs w:val="20"/>
              </w:rPr>
              <w:t>520,017</w:t>
            </w:r>
            <w:r w:rsidRPr="00216C30">
              <w:rPr>
                <w:rFonts w:ascii="Arial" w:hAnsi="Arial" w:cs="Arial"/>
                <w:color w:val="000000"/>
                <w:sz w:val="20"/>
                <w:szCs w:val="20"/>
              </w:rPr>
              <w:t xml:space="preserve"> </w:t>
            </w:r>
          </w:p>
        </w:tc>
      </w:tr>
      <w:tr w:rsidR="00DA343E" w:rsidRPr="00663568" w14:paraId="466C0662"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00D61475" w14:textId="77777777" w:rsidR="00DA343E" w:rsidRPr="00864AD4" w:rsidRDefault="00DA343E"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2</w:t>
            </w:r>
          </w:p>
        </w:tc>
        <w:tc>
          <w:tcPr>
            <w:tcW w:w="8173" w:type="dxa"/>
            <w:tcBorders>
              <w:top w:val="nil"/>
              <w:left w:val="nil"/>
              <w:bottom w:val="single" w:sz="8" w:space="0" w:color="000000"/>
              <w:right w:val="single" w:sz="8" w:space="0" w:color="000000"/>
            </w:tcBorders>
            <w:shd w:val="clear" w:color="000000" w:fill="FFFFFF"/>
            <w:hideMark/>
          </w:tcPr>
          <w:p w14:paraId="2FDB787D" w14:textId="77777777" w:rsidR="00DA343E" w:rsidRPr="00424CC3" w:rsidRDefault="00DA343E"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(Asset amounts deducted in determining Basel III “all-in” Tier 1 capital)</w:t>
            </w:r>
          </w:p>
        </w:tc>
        <w:tc>
          <w:tcPr>
            <w:tcW w:w="1380" w:type="dxa"/>
            <w:tcBorders>
              <w:top w:val="nil"/>
              <w:left w:val="nil"/>
              <w:bottom w:val="single" w:sz="8" w:space="0" w:color="000000"/>
              <w:right w:val="single" w:sz="8" w:space="0" w:color="000000"/>
            </w:tcBorders>
            <w:shd w:val="clear" w:color="000000" w:fill="FFFFFF"/>
            <w:hideMark/>
          </w:tcPr>
          <w:p w14:paraId="11AA1ECB" w14:textId="0485F168" w:rsidR="00DA343E" w:rsidRPr="00216C30" w:rsidRDefault="00DA343E">
            <w:pPr>
              <w:jc w:val="right"/>
              <w:rPr>
                <w:rFonts w:ascii="Arial" w:hAnsi="Arial" w:cs="Arial"/>
                <w:color w:val="000000"/>
                <w:sz w:val="20"/>
                <w:szCs w:val="20"/>
              </w:rPr>
            </w:pPr>
            <w:r w:rsidRPr="00216C30">
              <w:rPr>
                <w:rFonts w:ascii="Arial" w:hAnsi="Arial" w:cs="Arial"/>
                <w:color w:val="000000"/>
                <w:sz w:val="20"/>
                <w:szCs w:val="20"/>
              </w:rPr>
              <w:t>(</w:t>
            </w:r>
            <w:r w:rsidR="00D10C40">
              <w:rPr>
                <w:rFonts w:ascii="Arial" w:hAnsi="Arial" w:cs="Arial"/>
                <w:color w:val="000000"/>
                <w:sz w:val="20"/>
                <w:szCs w:val="20"/>
              </w:rPr>
              <w:t>3,</w:t>
            </w:r>
            <w:r w:rsidR="00EC5139">
              <w:rPr>
                <w:rFonts w:ascii="Arial" w:hAnsi="Arial" w:cs="Arial"/>
                <w:color w:val="000000"/>
                <w:sz w:val="20"/>
                <w:szCs w:val="20"/>
              </w:rPr>
              <w:t>905</w:t>
            </w:r>
            <w:r w:rsidRPr="00216C30">
              <w:rPr>
                <w:rFonts w:ascii="Arial" w:hAnsi="Arial" w:cs="Arial"/>
                <w:color w:val="000000"/>
                <w:sz w:val="20"/>
                <w:szCs w:val="20"/>
              </w:rPr>
              <w:t>)</w:t>
            </w:r>
          </w:p>
        </w:tc>
      </w:tr>
      <w:tr w:rsidR="00DA343E" w:rsidRPr="00663568" w14:paraId="5FD85681" w14:textId="77777777" w:rsidTr="00663568">
        <w:trPr>
          <w:trHeight w:val="299"/>
        </w:trPr>
        <w:tc>
          <w:tcPr>
            <w:tcW w:w="591" w:type="dxa"/>
            <w:tcBorders>
              <w:top w:val="nil"/>
              <w:left w:val="single" w:sz="8" w:space="0" w:color="000000"/>
              <w:bottom w:val="single" w:sz="8" w:space="0" w:color="D9D9D9"/>
              <w:right w:val="single" w:sz="8" w:space="0" w:color="000000"/>
            </w:tcBorders>
            <w:shd w:val="clear" w:color="000000" w:fill="D9D9D9"/>
            <w:hideMark/>
          </w:tcPr>
          <w:p w14:paraId="393DBB60" w14:textId="77777777" w:rsidR="00DA343E" w:rsidRPr="00864AD4" w:rsidRDefault="00DA343E"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3</w:t>
            </w:r>
          </w:p>
        </w:tc>
        <w:tc>
          <w:tcPr>
            <w:tcW w:w="8173" w:type="dxa"/>
            <w:tcBorders>
              <w:top w:val="nil"/>
              <w:left w:val="nil"/>
              <w:bottom w:val="single" w:sz="8" w:space="0" w:color="D9D9D9"/>
              <w:right w:val="single" w:sz="8" w:space="0" w:color="000000"/>
            </w:tcBorders>
            <w:shd w:val="clear" w:color="000000" w:fill="D9D9D9"/>
            <w:hideMark/>
          </w:tcPr>
          <w:p w14:paraId="104A24E6" w14:textId="77777777" w:rsidR="00DA343E" w:rsidRPr="00864AD4" w:rsidRDefault="00DA343E" w:rsidP="00663568">
            <w:pPr>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Total on-balance sheet exposures (excluding derivatives and SFTs) (sum of lines 1 and 2)</w:t>
            </w:r>
          </w:p>
        </w:tc>
        <w:tc>
          <w:tcPr>
            <w:tcW w:w="1380" w:type="dxa"/>
            <w:tcBorders>
              <w:top w:val="nil"/>
              <w:left w:val="nil"/>
              <w:bottom w:val="single" w:sz="8" w:space="0" w:color="D9D9D9"/>
              <w:right w:val="single" w:sz="8" w:space="0" w:color="000000"/>
            </w:tcBorders>
            <w:shd w:val="clear" w:color="000000" w:fill="D9D9D9"/>
            <w:hideMark/>
          </w:tcPr>
          <w:p w14:paraId="077648ED" w14:textId="6FD7446C" w:rsidR="00DA343E" w:rsidRPr="00216C30" w:rsidRDefault="00DA343E">
            <w:pPr>
              <w:jc w:val="right"/>
              <w:rPr>
                <w:rFonts w:ascii="Arial" w:hAnsi="Arial" w:cs="Arial"/>
                <w:b/>
                <w:bCs/>
                <w:color w:val="000000"/>
                <w:sz w:val="20"/>
                <w:szCs w:val="20"/>
              </w:rPr>
            </w:pPr>
            <w:r w:rsidRPr="00216C30">
              <w:rPr>
                <w:rFonts w:ascii="Arial" w:hAnsi="Arial" w:cs="Arial"/>
                <w:b/>
                <w:bCs/>
                <w:color w:val="000000"/>
                <w:sz w:val="20"/>
                <w:szCs w:val="20"/>
              </w:rPr>
              <w:t>1,</w:t>
            </w:r>
            <w:r w:rsidR="00EC5139">
              <w:rPr>
                <w:rFonts w:ascii="Arial" w:hAnsi="Arial" w:cs="Arial"/>
                <w:b/>
                <w:bCs/>
                <w:color w:val="000000"/>
                <w:sz w:val="20"/>
                <w:szCs w:val="20"/>
              </w:rPr>
              <w:t>516,111</w:t>
            </w:r>
            <w:r w:rsidRPr="00216C30">
              <w:rPr>
                <w:rFonts w:ascii="Arial" w:hAnsi="Arial" w:cs="Arial"/>
                <w:b/>
                <w:bCs/>
                <w:color w:val="000000"/>
                <w:sz w:val="20"/>
                <w:szCs w:val="20"/>
              </w:rPr>
              <w:t xml:space="preserve"> </w:t>
            </w:r>
          </w:p>
        </w:tc>
      </w:tr>
      <w:tr w:rsidR="00663568" w:rsidRPr="00663568" w14:paraId="63AC1185" w14:textId="77777777" w:rsidTr="00663568">
        <w:trPr>
          <w:trHeight w:val="299"/>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097B8BBA" w14:textId="77777777" w:rsidR="00663568" w:rsidRPr="00864AD4" w:rsidRDefault="00663568"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Derivative exposures</w:t>
            </w:r>
          </w:p>
        </w:tc>
      </w:tr>
      <w:tr w:rsidR="00663568" w:rsidRPr="00663568" w14:paraId="742BFAE9"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B2908EF"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4</w:t>
            </w:r>
          </w:p>
        </w:tc>
        <w:tc>
          <w:tcPr>
            <w:tcW w:w="8173" w:type="dxa"/>
            <w:tcBorders>
              <w:top w:val="nil"/>
              <w:left w:val="nil"/>
              <w:bottom w:val="single" w:sz="8" w:space="0" w:color="000000"/>
              <w:right w:val="single" w:sz="8" w:space="0" w:color="000000"/>
            </w:tcBorders>
            <w:shd w:val="clear" w:color="000000" w:fill="FFFFFF"/>
            <w:hideMark/>
          </w:tcPr>
          <w:p w14:paraId="5048AF0F" w14:textId="77777777" w:rsidR="00663568" w:rsidRPr="00424CC3"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Replacement cost associated with all derivative transactions (i.e. net of eligible cash variation margin)</w:t>
            </w:r>
          </w:p>
        </w:tc>
        <w:tc>
          <w:tcPr>
            <w:tcW w:w="1380" w:type="dxa"/>
            <w:tcBorders>
              <w:top w:val="nil"/>
              <w:left w:val="nil"/>
              <w:bottom w:val="single" w:sz="8" w:space="0" w:color="000000"/>
              <w:right w:val="single" w:sz="8" w:space="0" w:color="000000"/>
            </w:tcBorders>
            <w:shd w:val="clear" w:color="000000" w:fill="FFFFFF"/>
            <w:hideMark/>
          </w:tcPr>
          <w:p w14:paraId="0F70C46B"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4A645F47"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645A5C5"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5</w:t>
            </w:r>
          </w:p>
        </w:tc>
        <w:tc>
          <w:tcPr>
            <w:tcW w:w="8173" w:type="dxa"/>
            <w:tcBorders>
              <w:top w:val="nil"/>
              <w:left w:val="nil"/>
              <w:bottom w:val="single" w:sz="8" w:space="0" w:color="000000"/>
              <w:right w:val="single" w:sz="8" w:space="0" w:color="000000"/>
            </w:tcBorders>
            <w:shd w:val="clear" w:color="000000" w:fill="FFFFFF"/>
            <w:hideMark/>
          </w:tcPr>
          <w:p w14:paraId="48F54A69" w14:textId="77777777" w:rsidR="00663568" w:rsidRPr="00864AD4"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Add-on amounts for PFE associated with all derivative transactions</w:t>
            </w:r>
          </w:p>
        </w:tc>
        <w:tc>
          <w:tcPr>
            <w:tcW w:w="1380" w:type="dxa"/>
            <w:tcBorders>
              <w:top w:val="nil"/>
              <w:left w:val="nil"/>
              <w:bottom w:val="single" w:sz="8" w:space="0" w:color="000000"/>
              <w:right w:val="single" w:sz="8" w:space="0" w:color="000000"/>
            </w:tcBorders>
            <w:shd w:val="clear" w:color="000000" w:fill="FFFFFF"/>
            <w:hideMark/>
          </w:tcPr>
          <w:p w14:paraId="053481CE"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4CA8560B"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07A7FD6A"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6</w:t>
            </w:r>
          </w:p>
        </w:tc>
        <w:tc>
          <w:tcPr>
            <w:tcW w:w="8173" w:type="dxa"/>
            <w:tcBorders>
              <w:top w:val="nil"/>
              <w:left w:val="nil"/>
              <w:bottom w:val="single" w:sz="8" w:space="0" w:color="000000"/>
              <w:right w:val="single" w:sz="8" w:space="0" w:color="000000"/>
            </w:tcBorders>
            <w:shd w:val="clear" w:color="000000" w:fill="FFFFFF"/>
            <w:hideMark/>
          </w:tcPr>
          <w:p w14:paraId="52B17E15" w14:textId="77777777" w:rsidR="00663568" w:rsidRPr="00424CC3"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Gross up for derivatives collateral provided where deducted from the balance sheet</w:t>
            </w:r>
          </w:p>
        </w:tc>
        <w:tc>
          <w:tcPr>
            <w:tcW w:w="1380" w:type="dxa"/>
            <w:tcBorders>
              <w:top w:val="nil"/>
              <w:left w:val="nil"/>
              <w:bottom w:val="single" w:sz="8" w:space="0" w:color="000000"/>
              <w:right w:val="single" w:sz="8" w:space="0" w:color="000000"/>
            </w:tcBorders>
            <w:shd w:val="clear" w:color="000000" w:fill="FFFFFF"/>
            <w:hideMark/>
          </w:tcPr>
          <w:p w14:paraId="7E3EDCC4"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7D947D33"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70F9D429"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7</w:t>
            </w:r>
          </w:p>
        </w:tc>
        <w:tc>
          <w:tcPr>
            <w:tcW w:w="8173" w:type="dxa"/>
            <w:tcBorders>
              <w:top w:val="nil"/>
              <w:left w:val="nil"/>
              <w:bottom w:val="single" w:sz="8" w:space="0" w:color="000000"/>
              <w:right w:val="single" w:sz="8" w:space="0" w:color="000000"/>
            </w:tcBorders>
            <w:shd w:val="clear" w:color="000000" w:fill="FFFFFF"/>
            <w:hideMark/>
          </w:tcPr>
          <w:p w14:paraId="3B4D25E0" w14:textId="77777777" w:rsidR="00663568" w:rsidRPr="00864AD4" w:rsidRDefault="00663568" w:rsidP="003D0460">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w:t>
            </w:r>
            <w:proofErr w:type="gramStart"/>
            <w:r w:rsidRPr="00424CC3">
              <w:rPr>
                <w:rFonts w:ascii="Arial" w:hAnsi="Arial" w:cs="Arial"/>
                <w:color w:val="000000"/>
                <w:sz w:val="16"/>
                <w:szCs w:val="16"/>
                <w:lang w:val="en-US" w:eastAsia="en-US"/>
              </w:rPr>
              <w:t>Deductions  of</w:t>
            </w:r>
            <w:proofErr w:type="gramEnd"/>
            <w:r w:rsidRPr="00424CC3">
              <w:rPr>
                <w:rFonts w:ascii="Arial" w:hAnsi="Arial" w:cs="Arial"/>
                <w:color w:val="000000"/>
                <w:sz w:val="16"/>
                <w:szCs w:val="16"/>
                <w:lang w:val="en-US" w:eastAsia="en-US"/>
              </w:rPr>
              <w:t xml:space="preserve">  receivables  assets  for  cash   variation  margin  provided</w:t>
            </w:r>
            <w:r w:rsidR="003D0460" w:rsidRPr="00424CC3">
              <w:rPr>
                <w:rFonts w:ascii="Arial" w:hAnsi="Arial" w:cs="Arial"/>
                <w:color w:val="000000"/>
                <w:sz w:val="16"/>
                <w:szCs w:val="16"/>
                <w:lang w:val="en-US" w:eastAsia="en-US"/>
              </w:rPr>
              <w:t xml:space="preserve"> in derivative transactions)</w:t>
            </w:r>
          </w:p>
        </w:tc>
        <w:tc>
          <w:tcPr>
            <w:tcW w:w="1380" w:type="dxa"/>
            <w:tcBorders>
              <w:top w:val="nil"/>
              <w:left w:val="nil"/>
              <w:bottom w:val="single" w:sz="8" w:space="0" w:color="000000"/>
              <w:right w:val="single" w:sz="8" w:space="0" w:color="000000"/>
            </w:tcBorders>
            <w:shd w:val="clear" w:color="000000" w:fill="FFFFFF"/>
            <w:hideMark/>
          </w:tcPr>
          <w:p w14:paraId="19B2DB51"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2F877EF0"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4494185F"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8</w:t>
            </w:r>
          </w:p>
        </w:tc>
        <w:tc>
          <w:tcPr>
            <w:tcW w:w="8173" w:type="dxa"/>
            <w:tcBorders>
              <w:top w:val="nil"/>
              <w:left w:val="nil"/>
              <w:bottom w:val="single" w:sz="8" w:space="0" w:color="000000"/>
              <w:right w:val="single" w:sz="8" w:space="0" w:color="000000"/>
            </w:tcBorders>
            <w:shd w:val="clear" w:color="000000" w:fill="FFFFFF"/>
            <w:hideMark/>
          </w:tcPr>
          <w:p w14:paraId="0077BE52" w14:textId="77777777" w:rsidR="00663568" w:rsidRPr="00424CC3"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(Exempted CCP-leg of client cleared trade exposures)</w:t>
            </w:r>
          </w:p>
        </w:tc>
        <w:tc>
          <w:tcPr>
            <w:tcW w:w="1380" w:type="dxa"/>
            <w:tcBorders>
              <w:top w:val="nil"/>
              <w:left w:val="nil"/>
              <w:bottom w:val="single" w:sz="8" w:space="0" w:color="000000"/>
              <w:right w:val="single" w:sz="8" w:space="0" w:color="000000"/>
            </w:tcBorders>
            <w:shd w:val="clear" w:color="000000" w:fill="FFFFFF"/>
            <w:hideMark/>
          </w:tcPr>
          <w:p w14:paraId="0CCD000C"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52DF14E9"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7C1D9377"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9</w:t>
            </w:r>
          </w:p>
        </w:tc>
        <w:tc>
          <w:tcPr>
            <w:tcW w:w="8173" w:type="dxa"/>
            <w:tcBorders>
              <w:top w:val="nil"/>
              <w:left w:val="nil"/>
              <w:bottom w:val="single" w:sz="8" w:space="0" w:color="000000"/>
              <w:right w:val="single" w:sz="8" w:space="0" w:color="000000"/>
            </w:tcBorders>
            <w:shd w:val="clear" w:color="000000" w:fill="FFFFFF"/>
            <w:hideMark/>
          </w:tcPr>
          <w:p w14:paraId="15AF2F5C" w14:textId="77777777" w:rsidR="00663568" w:rsidRPr="00424CC3"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Adjusted effective notional amount of written credit derivatives</w:t>
            </w:r>
          </w:p>
        </w:tc>
        <w:tc>
          <w:tcPr>
            <w:tcW w:w="1380" w:type="dxa"/>
            <w:tcBorders>
              <w:top w:val="nil"/>
              <w:left w:val="nil"/>
              <w:bottom w:val="single" w:sz="8" w:space="0" w:color="000000"/>
              <w:right w:val="single" w:sz="8" w:space="0" w:color="000000"/>
            </w:tcBorders>
            <w:shd w:val="clear" w:color="000000" w:fill="FFFFFF"/>
            <w:hideMark/>
          </w:tcPr>
          <w:p w14:paraId="7CB8A6AC"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124228E7"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332155F"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10</w:t>
            </w:r>
          </w:p>
        </w:tc>
        <w:tc>
          <w:tcPr>
            <w:tcW w:w="8173" w:type="dxa"/>
            <w:tcBorders>
              <w:top w:val="nil"/>
              <w:left w:val="nil"/>
              <w:bottom w:val="single" w:sz="8" w:space="0" w:color="000000"/>
              <w:right w:val="single" w:sz="8" w:space="0" w:color="000000"/>
            </w:tcBorders>
            <w:shd w:val="clear" w:color="000000" w:fill="FFFFFF"/>
            <w:hideMark/>
          </w:tcPr>
          <w:p w14:paraId="436AB87A" w14:textId="77777777" w:rsidR="00663568" w:rsidRPr="00864AD4"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 xml:space="preserve">(Adjusted effective notional offsets and add-on deductions for written credit </w:t>
            </w:r>
            <w:r w:rsidR="003D0460" w:rsidRPr="00424CC3">
              <w:rPr>
                <w:rFonts w:ascii="Arial" w:hAnsi="Arial" w:cs="Arial"/>
                <w:color w:val="000000"/>
                <w:sz w:val="16"/>
                <w:szCs w:val="16"/>
                <w:lang w:val="en-US" w:eastAsia="en-US"/>
              </w:rPr>
              <w:t>derivative</w:t>
            </w:r>
            <w:r w:rsidR="003D0460" w:rsidRPr="00864AD4">
              <w:rPr>
                <w:rFonts w:ascii="Arial" w:hAnsi="Arial" w:cs="Arial"/>
                <w:color w:val="000000"/>
                <w:sz w:val="16"/>
                <w:szCs w:val="16"/>
                <w:lang w:val="en-US" w:eastAsia="en-US"/>
              </w:rPr>
              <w:t>s</w:t>
            </w:r>
            <w:r w:rsidR="00883EB2" w:rsidRPr="00864AD4">
              <w:rPr>
                <w:rFonts w:ascii="Arial" w:hAnsi="Arial" w:cs="Arial"/>
                <w:color w:val="000000"/>
                <w:sz w:val="16"/>
                <w:szCs w:val="16"/>
                <w:lang w:val="en-US" w:eastAsia="en-US"/>
              </w:rPr>
              <w:t>)</w:t>
            </w:r>
          </w:p>
        </w:tc>
        <w:tc>
          <w:tcPr>
            <w:tcW w:w="1380" w:type="dxa"/>
            <w:tcBorders>
              <w:top w:val="nil"/>
              <w:left w:val="nil"/>
              <w:bottom w:val="single" w:sz="8" w:space="0" w:color="000000"/>
              <w:right w:val="single" w:sz="8" w:space="0" w:color="000000"/>
            </w:tcBorders>
            <w:shd w:val="clear" w:color="000000" w:fill="FFFFFF"/>
            <w:hideMark/>
          </w:tcPr>
          <w:p w14:paraId="7033E76D"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2631525A" w14:textId="77777777" w:rsidTr="00663568">
        <w:trPr>
          <w:trHeight w:val="299"/>
        </w:trPr>
        <w:tc>
          <w:tcPr>
            <w:tcW w:w="591" w:type="dxa"/>
            <w:tcBorders>
              <w:top w:val="nil"/>
              <w:left w:val="single" w:sz="8" w:space="0" w:color="000000"/>
              <w:bottom w:val="single" w:sz="8" w:space="0" w:color="D9D9D9"/>
              <w:right w:val="single" w:sz="8" w:space="0" w:color="000000"/>
            </w:tcBorders>
            <w:shd w:val="clear" w:color="000000" w:fill="D9D9D9"/>
            <w:hideMark/>
          </w:tcPr>
          <w:p w14:paraId="0F27D367" w14:textId="77777777" w:rsidR="00663568" w:rsidRPr="00864AD4" w:rsidRDefault="00663568"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11</w:t>
            </w:r>
          </w:p>
        </w:tc>
        <w:tc>
          <w:tcPr>
            <w:tcW w:w="8173" w:type="dxa"/>
            <w:tcBorders>
              <w:top w:val="nil"/>
              <w:left w:val="nil"/>
              <w:bottom w:val="single" w:sz="8" w:space="0" w:color="D9D9D9"/>
              <w:right w:val="single" w:sz="8" w:space="0" w:color="000000"/>
            </w:tcBorders>
            <w:shd w:val="clear" w:color="000000" w:fill="D9D9D9"/>
            <w:hideMark/>
          </w:tcPr>
          <w:p w14:paraId="05E5D3B7" w14:textId="77777777" w:rsidR="00663568" w:rsidRPr="00864AD4" w:rsidRDefault="00663568" w:rsidP="00663568">
            <w:pPr>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Total derivative exposures (sum of lines 4 to 10)</w:t>
            </w:r>
          </w:p>
        </w:tc>
        <w:tc>
          <w:tcPr>
            <w:tcW w:w="1380" w:type="dxa"/>
            <w:tcBorders>
              <w:top w:val="nil"/>
              <w:left w:val="nil"/>
              <w:bottom w:val="single" w:sz="8" w:space="0" w:color="D9D9D9"/>
              <w:right w:val="single" w:sz="8" w:space="0" w:color="000000"/>
            </w:tcBorders>
            <w:shd w:val="clear" w:color="000000" w:fill="D9D9D9"/>
            <w:hideMark/>
          </w:tcPr>
          <w:p w14:paraId="5CF7B6EC" w14:textId="77777777" w:rsidR="00663568" w:rsidRPr="00216C30" w:rsidRDefault="00663568" w:rsidP="00663568">
            <w:pPr>
              <w:jc w:val="right"/>
              <w:rPr>
                <w:rFonts w:ascii="Arial" w:hAnsi="Arial" w:cs="Arial"/>
                <w:b/>
                <w:bCs/>
                <w:color w:val="000000"/>
                <w:sz w:val="20"/>
                <w:szCs w:val="20"/>
                <w:lang w:val="en-US" w:eastAsia="en-US"/>
              </w:rPr>
            </w:pPr>
            <w:r w:rsidRPr="00216C30">
              <w:rPr>
                <w:rFonts w:ascii="Arial" w:hAnsi="Arial" w:cs="Arial"/>
                <w:b/>
                <w:bCs/>
                <w:color w:val="000000"/>
                <w:sz w:val="20"/>
                <w:szCs w:val="20"/>
                <w:lang w:val="en-US" w:eastAsia="en-US"/>
              </w:rPr>
              <w:t xml:space="preserve">0 </w:t>
            </w:r>
          </w:p>
        </w:tc>
      </w:tr>
      <w:tr w:rsidR="00663568" w:rsidRPr="00663568" w14:paraId="70977AFE" w14:textId="77777777" w:rsidTr="00663568">
        <w:trPr>
          <w:trHeight w:val="299"/>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4D311FA2" w14:textId="77777777" w:rsidR="00663568" w:rsidRPr="00864AD4" w:rsidRDefault="00663568"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Securities financing transaction exposures</w:t>
            </w:r>
          </w:p>
        </w:tc>
      </w:tr>
      <w:tr w:rsidR="00663568" w:rsidRPr="00663568" w14:paraId="5757D6B8" w14:textId="77777777" w:rsidTr="00663568">
        <w:trPr>
          <w:trHeight w:val="469"/>
        </w:trPr>
        <w:tc>
          <w:tcPr>
            <w:tcW w:w="591" w:type="dxa"/>
            <w:tcBorders>
              <w:top w:val="nil"/>
              <w:left w:val="single" w:sz="8" w:space="0" w:color="000000"/>
              <w:bottom w:val="single" w:sz="8" w:space="0" w:color="000000"/>
              <w:right w:val="single" w:sz="8" w:space="0" w:color="000000"/>
            </w:tcBorders>
            <w:shd w:val="clear" w:color="000000" w:fill="FFFFFF"/>
            <w:hideMark/>
          </w:tcPr>
          <w:p w14:paraId="7E5646C0"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12</w:t>
            </w:r>
          </w:p>
        </w:tc>
        <w:tc>
          <w:tcPr>
            <w:tcW w:w="8173" w:type="dxa"/>
            <w:tcBorders>
              <w:top w:val="nil"/>
              <w:left w:val="nil"/>
              <w:bottom w:val="single" w:sz="8" w:space="0" w:color="000000"/>
              <w:right w:val="single" w:sz="8" w:space="0" w:color="000000"/>
            </w:tcBorders>
            <w:shd w:val="clear" w:color="000000" w:fill="FFFFFF"/>
            <w:hideMark/>
          </w:tcPr>
          <w:p w14:paraId="4EE523EB" w14:textId="77777777" w:rsidR="00663568" w:rsidRPr="00864AD4"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 xml:space="preserve">Gross SFT assets </w:t>
            </w:r>
            <w:proofErr w:type="spellStart"/>
            <w:r w:rsidRPr="00424CC3">
              <w:rPr>
                <w:rFonts w:ascii="Arial" w:hAnsi="Arial" w:cs="Arial"/>
                <w:color w:val="000000"/>
                <w:sz w:val="16"/>
                <w:szCs w:val="16"/>
                <w:lang w:val="en-US" w:eastAsia="en-US"/>
              </w:rPr>
              <w:t>recognised</w:t>
            </w:r>
            <w:proofErr w:type="spellEnd"/>
            <w:r w:rsidRPr="00424CC3">
              <w:rPr>
                <w:rFonts w:ascii="Arial" w:hAnsi="Arial" w:cs="Arial"/>
                <w:color w:val="000000"/>
                <w:sz w:val="16"/>
                <w:szCs w:val="16"/>
                <w:lang w:val="en-US" w:eastAsia="en-US"/>
              </w:rPr>
              <w:t xml:space="preserve"> for accounting purposes (with no recognition of netting), after adjusting for sale accounting transactions</w:t>
            </w:r>
          </w:p>
        </w:tc>
        <w:tc>
          <w:tcPr>
            <w:tcW w:w="1380" w:type="dxa"/>
            <w:tcBorders>
              <w:top w:val="nil"/>
              <w:left w:val="nil"/>
              <w:bottom w:val="single" w:sz="8" w:space="0" w:color="000000"/>
              <w:right w:val="single" w:sz="8" w:space="0" w:color="000000"/>
            </w:tcBorders>
            <w:shd w:val="clear" w:color="000000" w:fill="FFFFFF"/>
            <w:hideMark/>
          </w:tcPr>
          <w:p w14:paraId="479FC510"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6D3CFCED"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FD53DDD"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13</w:t>
            </w:r>
          </w:p>
        </w:tc>
        <w:tc>
          <w:tcPr>
            <w:tcW w:w="8173" w:type="dxa"/>
            <w:tcBorders>
              <w:top w:val="nil"/>
              <w:left w:val="nil"/>
              <w:bottom w:val="single" w:sz="8" w:space="0" w:color="000000"/>
              <w:right w:val="single" w:sz="8" w:space="0" w:color="000000"/>
            </w:tcBorders>
            <w:shd w:val="clear" w:color="000000" w:fill="FFFFFF"/>
            <w:hideMark/>
          </w:tcPr>
          <w:p w14:paraId="12B32C24" w14:textId="77777777" w:rsidR="00663568" w:rsidRPr="00864AD4"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(Netted amounts of cash payables and cash receivables of gross SFT assets)</w:t>
            </w:r>
          </w:p>
        </w:tc>
        <w:tc>
          <w:tcPr>
            <w:tcW w:w="1380" w:type="dxa"/>
            <w:tcBorders>
              <w:top w:val="nil"/>
              <w:left w:val="nil"/>
              <w:bottom w:val="single" w:sz="8" w:space="0" w:color="000000"/>
              <w:right w:val="single" w:sz="8" w:space="0" w:color="000000"/>
            </w:tcBorders>
            <w:shd w:val="clear" w:color="000000" w:fill="FFFFFF"/>
            <w:hideMark/>
          </w:tcPr>
          <w:p w14:paraId="7EB12748"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5B0C051D"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7BFEF08"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14</w:t>
            </w:r>
          </w:p>
        </w:tc>
        <w:tc>
          <w:tcPr>
            <w:tcW w:w="8173" w:type="dxa"/>
            <w:tcBorders>
              <w:top w:val="nil"/>
              <w:left w:val="nil"/>
              <w:bottom w:val="single" w:sz="8" w:space="0" w:color="000000"/>
              <w:right w:val="single" w:sz="8" w:space="0" w:color="000000"/>
            </w:tcBorders>
            <w:shd w:val="clear" w:color="000000" w:fill="FFFFFF"/>
            <w:hideMark/>
          </w:tcPr>
          <w:p w14:paraId="7941E523" w14:textId="77777777" w:rsidR="00663568" w:rsidRPr="00424CC3"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Counterparty credit risk (CCR) exposure for SFTs</w:t>
            </w:r>
          </w:p>
        </w:tc>
        <w:tc>
          <w:tcPr>
            <w:tcW w:w="1380" w:type="dxa"/>
            <w:tcBorders>
              <w:top w:val="nil"/>
              <w:left w:val="nil"/>
              <w:bottom w:val="single" w:sz="8" w:space="0" w:color="000000"/>
              <w:right w:val="single" w:sz="8" w:space="0" w:color="000000"/>
            </w:tcBorders>
            <w:shd w:val="clear" w:color="000000" w:fill="FFFFFF"/>
            <w:hideMark/>
          </w:tcPr>
          <w:p w14:paraId="70006ABF"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29B1DBB4"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772D20BE" w14:textId="77777777" w:rsidR="00663568" w:rsidRPr="00864AD4" w:rsidRDefault="00663568"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15</w:t>
            </w:r>
          </w:p>
        </w:tc>
        <w:tc>
          <w:tcPr>
            <w:tcW w:w="8173" w:type="dxa"/>
            <w:tcBorders>
              <w:top w:val="nil"/>
              <w:left w:val="nil"/>
              <w:bottom w:val="single" w:sz="8" w:space="0" w:color="000000"/>
              <w:right w:val="single" w:sz="8" w:space="0" w:color="000000"/>
            </w:tcBorders>
            <w:shd w:val="clear" w:color="000000" w:fill="FFFFFF"/>
            <w:hideMark/>
          </w:tcPr>
          <w:p w14:paraId="194E18DB" w14:textId="77777777" w:rsidR="00663568" w:rsidRPr="00424CC3" w:rsidRDefault="00663568"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Agent transaction exposures</w:t>
            </w:r>
          </w:p>
        </w:tc>
        <w:tc>
          <w:tcPr>
            <w:tcW w:w="1380" w:type="dxa"/>
            <w:tcBorders>
              <w:top w:val="nil"/>
              <w:left w:val="nil"/>
              <w:bottom w:val="single" w:sz="8" w:space="0" w:color="000000"/>
              <w:right w:val="single" w:sz="8" w:space="0" w:color="000000"/>
            </w:tcBorders>
            <w:shd w:val="clear" w:color="000000" w:fill="FFFFFF"/>
            <w:hideMark/>
          </w:tcPr>
          <w:p w14:paraId="641C3889" w14:textId="77777777" w:rsidR="00663568" w:rsidRPr="00216C30" w:rsidRDefault="00663568" w:rsidP="00663568">
            <w:pPr>
              <w:jc w:val="right"/>
              <w:rPr>
                <w:rFonts w:ascii="Arial" w:hAnsi="Arial" w:cs="Arial"/>
                <w:color w:val="000000"/>
                <w:sz w:val="20"/>
                <w:szCs w:val="20"/>
                <w:lang w:val="en-US" w:eastAsia="en-US"/>
              </w:rPr>
            </w:pPr>
            <w:r w:rsidRPr="00216C30">
              <w:rPr>
                <w:rFonts w:ascii="Arial" w:hAnsi="Arial" w:cs="Arial"/>
                <w:color w:val="000000"/>
                <w:sz w:val="20"/>
                <w:szCs w:val="20"/>
                <w:lang w:val="en-US" w:eastAsia="en-US"/>
              </w:rPr>
              <w:t> </w:t>
            </w:r>
          </w:p>
        </w:tc>
      </w:tr>
      <w:tr w:rsidR="00663568" w:rsidRPr="00663568" w14:paraId="157963F4" w14:textId="77777777" w:rsidTr="00663568">
        <w:trPr>
          <w:trHeight w:val="299"/>
        </w:trPr>
        <w:tc>
          <w:tcPr>
            <w:tcW w:w="591" w:type="dxa"/>
            <w:tcBorders>
              <w:top w:val="nil"/>
              <w:left w:val="single" w:sz="8" w:space="0" w:color="000000"/>
              <w:bottom w:val="nil"/>
              <w:right w:val="single" w:sz="8" w:space="0" w:color="000000"/>
            </w:tcBorders>
            <w:shd w:val="clear" w:color="000000" w:fill="D9D9D9"/>
            <w:hideMark/>
          </w:tcPr>
          <w:p w14:paraId="27464C81" w14:textId="77777777" w:rsidR="00663568" w:rsidRPr="00864AD4" w:rsidRDefault="00663568"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16</w:t>
            </w:r>
          </w:p>
        </w:tc>
        <w:tc>
          <w:tcPr>
            <w:tcW w:w="8173" w:type="dxa"/>
            <w:tcBorders>
              <w:top w:val="nil"/>
              <w:left w:val="nil"/>
              <w:bottom w:val="nil"/>
              <w:right w:val="single" w:sz="8" w:space="0" w:color="000000"/>
            </w:tcBorders>
            <w:shd w:val="clear" w:color="000000" w:fill="D9D9D9"/>
            <w:hideMark/>
          </w:tcPr>
          <w:p w14:paraId="4EF1A89C" w14:textId="77777777" w:rsidR="00663568" w:rsidRPr="00424CC3" w:rsidRDefault="00663568" w:rsidP="00663568">
            <w:pPr>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Total securities financing transaction exposures (sum of lines 12 to 15)</w:t>
            </w:r>
          </w:p>
        </w:tc>
        <w:tc>
          <w:tcPr>
            <w:tcW w:w="1380" w:type="dxa"/>
            <w:tcBorders>
              <w:top w:val="nil"/>
              <w:left w:val="nil"/>
              <w:bottom w:val="nil"/>
              <w:right w:val="single" w:sz="8" w:space="0" w:color="000000"/>
            </w:tcBorders>
            <w:shd w:val="clear" w:color="000000" w:fill="D9D9D9"/>
            <w:hideMark/>
          </w:tcPr>
          <w:p w14:paraId="27DE47E8" w14:textId="77777777" w:rsidR="00663568" w:rsidRPr="00216C30" w:rsidRDefault="00663568" w:rsidP="00663568">
            <w:pPr>
              <w:jc w:val="right"/>
              <w:rPr>
                <w:rFonts w:ascii="Arial" w:hAnsi="Arial" w:cs="Arial"/>
                <w:b/>
                <w:bCs/>
                <w:color w:val="000000"/>
                <w:sz w:val="20"/>
                <w:szCs w:val="20"/>
                <w:lang w:val="en-US" w:eastAsia="en-US"/>
              </w:rPr>
            </w:pPr>
            <w:r w:rsidRPr="00216C30">
              <w:rPr>
                <w:rFonts w:ascii="Arial" w:hAnsi="Arial" w:cs="Arial"/>
                <w:b/>
                <w:bCs/>
                <w:color w:val="000000"/>
                <w:sz w:val="20"/>
                <w:szCs w:val="20"/>
                <w:lang w:val="en-US" w:eastAsia="en-US"/>
              </w:rPr>
              <w:t xml:space="preserve">0 </w:t>
            </w:r>
          </w:p>
        </w:tc>
      </w:tr>
      <w:tr w:rsidR="00663568" w:rsidRPr="00663568" w14:paraId="24EA6EC3" w14:textId="77777777" w:rsidTr="00663568">
        <w:trPr>
          <w:trHeight w:val="299"/>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6CFC44DB" w14:textId="77777777" w:rsidR="00663568" w:rsidRPr="00864AD4" w:rsidRDefault="00663568"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Other off-balance sheet exposures</w:t>
            </w:r>
          </w:p>
        </w:tc>
      </w:tr>
      <w:tr w:rsidR="00DA343E" w:rsidRPr="00663568" w14:paraId="0E9AB19E"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0A7E337" w14:textId="77777777" w:rsidR="00DA343E" w:rsidRPr="00864AD4" w:rsidRDefault="00DA343E"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17</w:t>
            </w:r>
          </w:p>
        </w:tc>
        <w:tc>
          <w:tcPr>
            <w:tcW w:w="8173" w:type="dxa"/>
            <w:tcBorders>
              <w:top w:val="nil"/>
              <w:left w:val="nil"/>
              <w:bottom w:val="single" w:sz="8" w:space="0" w:color="000000"/>
              <w:right w:val="single" w:sz="8" w:space="0" w:color="000000"/>
            </w:tcBorders>
            <w:shd w:val="clear" w:color="000000" w:fill="FFFFFF"/>
            <w:hideMark/>
          </w:tcPr>
          <w:p w14:paraId="53C48D8B" w14:textId="77777777" w:rsidR="00DA343E" w:rsidRPr="00864AD4" w:rsidRDefault="00DA343E"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Off-balance sheet exposure at gross notional amount</w:t>
            </w:r>
          </w:p>
        </w:tc>
        <w:tc>
          <w:tcPr>
            <w:tcW w:w="1380" w:type="dxa"/>
            <w:tcBorders>
              <w:top w:val="nil"/>
              <w:left w:val="nil"/>
              <w:bottom w:val="single" w:sz="8" w:space="0" w:color="000000"/>
              <w:right w:val="single" w:sz="8" w:space="0" w:color="000000"/>
            </w:tcBorders>
            <w:shd w:val="clear" w:color="000000" w:fill="FFFFFF"/>
            <w:hideMark/>
          </w:tcPr>
          <w:p w14:paraId="36770229" w14:textId="7037C835" w:rsidR="00DA343E" w:rsidRPr="00216C30" w:rsidRDefault="00366C75">
            <w:pPr>
              <w:jc w:val="right"/>
              <w:rPr>
                <w:rFonts w:ascii="Arial" w:hAnsi="Arial" w:cs="Arial"/>
                <w:color w:val="000000"/>
                <w:sz w:val="20"/>
                <w:szCs w:val="20"/>
              </w:rPr>
            </w:pPr>
            <w:r w:rsidRPr="00216C30">
              <w:rPr>
                <w:rFonts w:ascii="Arial" w:hAnsi="Arial" w:cs="Arial"/>
                <w:color w:val="000000"/>
                <w:sz w:val="20"/>
                <w:szCs w:val="20"/>
              </w:rPr>
              <w:t>4,</w:t>
            </w:r>
            <w:r w:rsidR="00EC5139">
              <w:rPr>
                <w:rFonts w:ascii="Arial" w:hAnsi="Arial" w:cs="Arial"/>
                <w:color w:val="000000"/>
                <w:sz w:val="20"/>
                <w:szCs w:val="20"/>
              </w:rPr>
              <w:t>356,276</w:t>
            </w:r>
            <w:r w:rsidR="00DA343E" w:rsidRPr="00216C30">
              <w:rPr>
                <w:rFonts w:ascii="Arial" w:hAnsi="Arial" w:cs="Arial"/>
                <w:color w:val="000000"/>
                <w:sz w:val="20"/>
                <w:szCs w:val="20"/>
              </w:rPr>
              <w:t xml:space="preserve"> </w:t>
            </w:r>
          </w:p>
        </w:tc>
      </w:tr>
      <w:tr w:rsidR="00DA343E" w:rsidRPr="00663568" w14:paraId="6CC8D820"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F9CC241" w14:textId="77777777" w:rsidR="00DA343E" w:rsidRPr="00864AD4" w:rsidRDefault="00DA343E" w:rsidP="00663568">
            <w:pPr>
              <w:jc w:val="center"/>
              <w:rPr>
                <w:rFonts w:ascii="Arial" w:hAnsi="Arial" w:cs="Arial"/>
                <w:color w:val="000000"/>
                <w:sz w:val="16"/>
                <w:szCs w:val="16"/>
                <w:lang w:val="en-US" w:eastAsia="en-US"/>
              </w:rPr>
            </w:pPr>
            <w:r w:rsidRPr="00864AD4">
              <w:rPr>
                <w:rFonts w:ascii="Arial" w:hAnsi="Arial" w:cs="Arial"/>
                <w:color w:val="000000"/>
                <w:sz w:val="16"/>
                <w:szCs w:val="16"/>
                <w:lang w:val="en-US" w:eastAsia="en-US"/>
              </w:rPr>
              <w:t>18</w:t>
            </w:r>
          </w:p>
        </w:tc>
        <w:tc>
          <w:tcPr>
            <w:tcW w:w="8173" w:type="dxa"/>
            <w:tcBorders>
              <w:top w:val="nil"/>
              <w:left w:val="nil"/>
              <w:bottom w:val="single" w:sz="8" w:space="0" w:color="000000"/>
              <w:right w:val="single" w:sz="8" w:space="0" w:color="000000"/>
            </w:tcBorders>
            <w:shd w:val="clear" w:color="000000" w:fill="FFFFFF"/>
            <w:hideMark/>
          </w:tcPr>
          <w:p w14:paraId="1BD518DF" w14:textId="77777777" w:rsidR="00DA343E" w:rsidRPr="00424CC3" w:rsidRDefault="00DA343E" w:rsidP="00663568">
            <w:pPr>
              <w:jc w:val="left"/>
              <w:rPr>
                <w:rFonts w:ascii="Arial" w:hAnsi="Arial" w:cs="Arial"/>
                <w:color w:val="000000"/>
                <w:sz w:val="16"/>
                <w:szCs w:val="16"/>
                <w:lang w:val="en-US" w:eastAsia="en-US"/>
              </w:rPr>
            </w:pPr>
            <w:r w:rsidRPr="00424CC3">
              <w:rPr>
                <w:rFonts w:ascii="Arial" w:hAnsi="Arial" w:cs="Arial"/>
                <w:color w:val="000000"/>
                <w:sz w:val="16"/>
                <w:szCs w:val="16"/>
                <w:lang w:val="en-US" w:eastAsia="en-US"/>
              </w:rPr>
              <w:t>(Adjustments for conversion to credit equivalent amounts)</w:t>
            </w:r>
          </w:p>
        </w:tc>
        <w:tc>
          <w:tcPr>
            <w:tcW w:w="1380" w:type="dxa"/>
            <w:tcBorders>
              <w:top w:val="nil"/>
              <w:left w:val="nil"/>
              <w:bottom w:val="single" w:sz="8" w:space="0" w:color="000000"/>
              <w:right w:val="single" w:sz="8" w:space="0" w:color="000000"/>
            </w:tcBorders>
            <w:shd w:val="clear" w:color="000000" w:fill="FFFFFF"/>
            <w:hideMark/>
          </w:tcPr>
          <w:p w14:paraId="5927F402" w14:textId="4F349A70" w:rsidR="00DA343E" w:rsidRPr="00216C30" w:rsidRDefault="00DA343E">
            <w:pPr>
              <w:jc w:val="right"/>
              <w:rPr>
                <w:rFonts w:ascii="Arial" w:hAnsi="Arial" w:cs="Arial"/>
                <w:color w:val="000000"/>
                <w:sz w:val="20"/>
                <w:szCs w:val="20"/>
              </w:rPr>
            </w:pPr>
            <w:r w:rsidRPr="00216C30">
              <w:rPr>
                <w:rFonts w:ascii="Arial" w:hAnsi="Arial" w:cs="Arial"/>
                <w:color w:val="000000"/>
                <w:sz w:val="20"/>
                <w:szCs w:val="20"/>
              </w:rPr>
              <w:t>(3,</w:t>
            </w:r>
            <w:r w:rsidR="00EC5139">
              <w:rPr>
                <w:rFonts w:ascii="Arial" w:hAnsi="Arial" w:cs="Arial"/>
                <w:color w:val="000000"/>
                <w:sz w:val="20"/>
                <w:szCs w:val="20"/>
              </w:rPr>
              <w:t>920,649</w:t>
            </w:r>
            <w:r w:rsidRPr="00216C30">
              <w:rPr>
                <w:rFonts w:ascii="Arial" w:hAnsi="Arial" w:cs="Arial"/>
                <w:color w:val="000000"/>
                <w:sz w:val="20"/>
                <w:szCs w:val="20"/>
              </w:rPr>
              <w:t>)</w:t>
            </w:r>
          </w:p>
        </w:tc>
      </w:tr>
      <w:tr w:rsidR="00DA343E" w:rsidRPr="00663568" w14:paraId="0A6395B4" w14:textId="77777777" w:rsidTr="00663568">
        <w:trPr>
          <w:trHeight w:val="299"/>
        </w:trPr>
        <w:tc>
          <w:tcPr>
            <w:tcW w:w="591" w:type="dxa"/>
            <w:tcBorders>
              <w:top w:val="nil"/>
              <w:left w:val="single" w:sz="8" w:space="0" w:color="000000"/>
              <w:bottom w:val="nil"/>
              <w:right w:val="single" w:sz="8" w:space="0" w:color="000000"/>
            </w:tcBorders>
            <w:shd w:val="clear" w:color="000000" w:fill="D9D9D9"/>
            <w:hideMark/>
          </w:tcPr>
          <w:p w14:paraId="701836F0" w14:textId="77777777" w:rsidR="00DA343E" w:rsidRPr="00864AD4" w:rsidRDefault="00DA343E"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19</w:t>
            </w:r>
          </w:p>
        </w:tc>
        <w:tc>
          <w:tcPr>
            <w:tcW w:w="8173" w:type="dxa"/>
            <w:tcBorders>
              <w:top w:val="nil"/>
              <w:left w:val="nil"/>
              <w:bottom w:val="nil"/>
              <w:right w:val="single" w:sz="8" w:space="0" w:color="000000"/>
            </w:tcBorders>
            <w:shd w:val="clear" w:color="000000" w:fill="D9D9D9"/>
            <w:hideMark/>
          </w:tcPr>
          <w:p w14:paraId="6C008401" w14:textId="77777777" w:rsidR="00DA343E" w:rsidRPr="00424CC3" w:rsidRDefault="00DA343E" w:rsidP="00663568">
            <w:pPr>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Off-balance sheet items (sum of lines 17 and 18)</w:t>
            </w:r>
          </w:p>
        </w:tc>
        <w:tc>
          <w:tcPr>
            <w:tcW w:w="1380" w:type="dxa"/>
            <w:tcBorders>
              <w:top w:val="nil"/>
              <w:left w:val="nil"/>
              <w:bottom w:val="nil"/>
              <w:right w:val="single" w:sz="8" w:space="0" w:color="000000"/>
            </w:tcBorders>
            <w:shd w:val="clear" w:color="000000" w:fill="D9D9D9"/>
            <w:hideMark/>
          </w:tcPr>
          <w:p w14:paraId="6AD50D14" w14:textId="3C1AFE1A" w:rsidR="00DA343E" w:rsidRPr="00216C30" w:rsidRDefault="00EC5139">
            <w:pPr>
              <w:jc w:val="right"/>
              <w:rPr>
                <w:rFonts w:ascii="Arial" w:hAnsi="Arial" w:cs="Arial"/>
                <w:b/>
                <w:bCs/>
                <w:color w:val="000000"/>
                <w:sz w:val="20"/>
                <w:szCs w:val="20"/>
              </w:rPr>
            </w:pPr>
            <w:r>
              <w:rPr>
                <w:rFonts w:ascii="Arial" w:hAnsi="Arial" w:cs="Arial"/>
                <w:b/>
                <w:bCs/>
                <w:color w:val="000000"/>
                <w:sz w:val="20"/>
                <w:szCs w:val="20"/>
              </w:rPr>
              <w:t>435,628</w:t>
            </w:r>
          </w:p>
        </w:tc>
      </w:tr>
      <w:tr w:rsidR="00663568" w:rsidRPr="00663568" w14:paraId="373BEDB2" w14:textId="77777777" w:rsidTr="00663568">
        <w:trPr>
          <w:trHeight w:val="284"/>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2972E159" w14:textId="77777777" w:rsidR="00663568" w:rsidRPr="00864AD4" w:rsidRDefault="00663568"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Additional Tier 1 capital: regulatory adjustments</w:t>
            </w:r>
          </w:p>
        </w:tc>
      </w:tr>
      <w:tr w:rsidR="00DA343E" w:rsidRPr="00663568" w14:paraId="5E938733"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D9D9D9"/>
            <w:hideMark/>
          </w:tcPr>
          <w:p w14:paraId="111AA1C1" w14:textId="77777777" w:rsidR="00DA343E" w:rsidRPr="00864AD4" w:rsidRDefault="00DA343E"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20</w:t>
            </w:r>
          </w:p>
        </w:tc>
        <w:tc>
          <w:tcPr>
            <w:tcW w:w="8173" w:type="dxa"/>
            <w:tcBorders>
              <w:top w:val="nil"/>
              <w:left w:val="nil"/>
              <w:bottom w:val="single" w:sz="8" w:space="0" w:color="000000"/>
              <w:right w:val="single" w:sz="8" w:space="0" w:color="000000"/>
            </w:tcBorders>
            <w:shd w:val="clear" w:color="000000" w:fill="D9D9D9"/>
            <w:hideMark/>
          </w:tcPr>
          <w:p w14:paraId="45BC25A8" w14:textId="77777777" w:rsidR="00DA343E" w:rsidRPr="00424CC3" w:rsidRDefault="00DA343E" w:rsidP="00663568">
            <w:pPr>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Tier 1 capital</w:t>
            </w:r>
          </w:p>
        </w:tc>
        <w:tc>
          <w:tcPr>
            <w:tcW w:w="1380" w:type="dxa"/>
            <w:tcBorders>
              <w:top w:val="nil"/>
              <w:left w:val="nil"/>
              <w:bottom w:val="single" w:sz="8" w:space="0" w:color="000000"/>
              <w:right w:val="single" w:sz="8" w:space="0" w:color="000000"/>
            </w:tcBorders>
            <w:shd w:val="clear" w:color="000000" w:fill="D9D9D9"/>
            <w:hideMark/>
          </w:tcPr>
          <w:p w14:paraId="5DFD6EE1" w14:textId="0402F2D3" w:rsidR="00DA343E" w:rsidRPr="00216C30" w:rsidRDefault="00DA343E">
            <w:pPr>
              <w:jc w:val="right"/>
              <w:rPr>
                <w:rFonts w:ascii="Arial" w:hAnsi="Arial" w:cs="Arial"/>
                <w:b/>
                <w:bCs/>
                <w:color w:val="000000"/>
                <w:sz w:val="20"/>
                <w:szCs w:val="20"/>
              </w:rPr>
            </w:pPr>
            <w:r w:rsidRPr="00216C30">
              <w:rPr>
                <w:rFonts w:ascii="Arial" w:hAnsi="Arial" w:cs="Arial"/>
                <w:b/>
                <w:bCs/>
                <w:color w:val="000000"/>
                <w:sz w:val="20"/>
                <w:szCs w:val="20"/>
              </w:rPr>
              <w:t>2</w:t>
            </w:r>
            <w:r w:rsidR="00EC5139">
              <w:rPr>
                <w:rFonts w:ascii="Arial" w:hAnsi="Arial" w:cs="Arial"/>
                <w:b/>
                <w:bCs/>
                <w:color w:val="000000"/>
                <w:sz w:val="20"/>
                <w:szCs w:val="20"/>
              </w:rPr>
              <w:t>61,834</w:t>
            </w:r>
            <w:r w:rsidRPr="00216C30">
              <w:rPr>
                <w:rFonts w:ascii="Arial" w:hAnsi="Arial" w:cs="Arial"/>
                <w:b/>
                <w:bCs/>
                <w:color w:val="000000"/>
                <w:sz w:val="20"/>
                <w:szCs w:val="20"/>
              </w:rPr>
              <w:t xml:space="preserve"> </w:t>
            </w:r>
          </w:p>
        </w:tc>
      </w:tr>
      <w:tr w:rsidR="00DA343E" w:rsidRPr="00663568" w14:paraId="2DAE55AF"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D9D9D9"/>
            <w:hideMark/>
          </w:tcPr>
          <w:p w14:paraId="5CB6AB15" w14:textId="77777777" w:rsidR="00DA343E" w:rsidRPr="00864AD4" w:rsidRDefault="00DA343E"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21</w:t>
            </w:r>
          </w:p>
        </w:tc>
        <w:tc>
          <w:tcPr>
            <w:tcW w:w="8173" w:type="dxa"/>
            <w:tcBorders>
              <w:top w:val="nil"/>
              <w:left w:val="nil"/>
              <w:bottom w:val="single" w:sz="8" w:space="0" w:color="000000"/>
              <w:right w:val="single" w:sz="8" w:space="0" w:color="000000"/>
            </w:tcBorders>
            <w:shd w:val="clear" w:color="000000" w:fill="D9D9D9"/>
            <w:hideMark/>
          </w:tcPr>
          <w:p w14:paraId="66CE329F" w14:textId="77777777" w:rsidR="00DA343E" w:rsidRPr="00424CC3" w:rsidRDefault="00DA343E" w:rsidP="00663568">
            <w:pPr>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Total Exposures (sum of lines 3, 11, 16 and 19)</w:t>
            </w:r>
          </w:p>
        </w:tc>
        <w:tc>
          <w:tcPr>
            <w:tcW w:w="1380" w:type="dxa"/>
            <w:tcBorders>
              <w:top w:val="nil"/>
              <w:left w:val="nil"/>
              <w:bottom w:val="single" w:sz="8" w:space="0" w:color="000000"/>
              <w:right w:val="single" w:sz="8" w:space="0" w:color="000000"/>
            </w:tcBorders>
            <w:shd w:val="clear" w:color="000000" w:fill="D9D9D9"/>
            <w:hideMark/>
          </w:tcPr>
          <w:p w14:paraId="0F78F07B" w14:textId="7DE6C954" w:rsidR="00DA343E" w:rsidRPr="00216C30" w:rsidRDefault="00DA343E">
            <w:pPr>
              <w:jc w:val="right"/>
              <w:rPr>
                <w:rFonts w:ascii="Arial" w:hAnsi="Arial" w:cs="Arial"/>
                <w:b/>
                <w:bCs/>
                <w:color w:val="000000"/>
                <w:sz w:val="20"/>
                <w:szCs w:val="20"/>
              </w:rPr>
            </w:pPr>
            <w:r w:rsidRPr="00216C30">
              <w:rPr>
                <w:rFonts w:ascii="Arial" w:hAnsi="Arial" w:cs="Arial"/>
                <w:b/>
                <w:bCs/>
                <w:color w:val="000000"/>
                <w:sz w:val="20"/>
                <w:szCs w:val="20"/>
              </w:rPr>
              <w:t>1,</w:t>
            </w:r>
            <w:r w:rsidR="00EC5139">
              <w:rPr>
                <w:rFonts w:ascii="Arial" w:hAnsi="Arial" w:cs="Arial"/>
                <w:b/>
                <w:bCs/>
                <w:color w:val="000000"/>
                <w:sz w:val="20"/>
                <w:szCs w:val="20"/>
              </w:rPr>
              <w:t>951,739</w:t>
            </w:r>
            <w:r w:rsidRPr="00216C30">
              <w:rPr>
                <w:rFonts w:ascii="Arial" w:hAnsi="Arial" w:cs="Arial"/>
                <w:b/>
                <w:bCs/>
                <w:color w:val="000000"/>
                <w:sz w:val="20"/>
                <w:szCs w:val="20"/>
              </w:rPr>
              <w:t xml:space="preserve"> </w:t>
            </w:r>
          </w:p>
        </w:tc>
      </w:tr>
      <w:tr w:rsidR="00663568" w:rsidRPr="00663568" w14:paraId="3EDFC4ED" w14:textId="77777777" w:rsidTr="00663568">
        <w:trPr>
          <w:trHeight w:val="299"/>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1419DA7E" w14:textId="77777777" w:rsidR="00663568" w:rsidRPr="00864AD4" w:rsidRDefault="00663568"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Additional Tier 1 capital: regulatory adjustments</w:t>
            </w:r>
          </w:p>
        </w:tc>
      </w:tr>
      <w:tr w:rsidR="00316BDE" w:rsidRPr="00663568" w14:paraId="38B6A596" w14:textId="77777777" w:rsidTr="00663568">
        <w:trPr>
          <w:trHeight w:val="299"/>
        </w:trPr>
        <w:tc>
          <w:tcPr>
            <w:tcW w:w="591" w:type="dxa"/>
            <w:tcBorders>
              <w:top w:val="nil"/>
              <w:left w:val="single" w:sz="8" w:space="0" w:color="auto"/>
              <w:bottom w:val="single" w:sz="8" w:space="0" w:color="auto"/>
              <w:right w:val="single" w:sz="8" w:space="0" w:color="000000"/>
            </w:tcBorders>
            <w:shd w:val="clear" w:color="000000" w:fill="D9D9D9"/>
            <w:hideMark/>
          </w:tcPr>
          <w:p w14:paraId="299297EF" w14:textId="77777777" w:rsidR="00316BDE" w:rsidRPr="00864AD4" w:rsidRDefault="00316BDE" w:rsidP="00663568">
            <w:pPr>
              <w:jc w:val="center"/>
              <w:rPr>
                <w:rFonts w:ascii="Arial" w:hAnsi="Arial" w:cs="Arial"/>
                <w:b/>
                <w:bCs/>
                <w:color w:val="000000"/>
                <w:sz w:val="16"/>
                <w:szCs w:val="16"/>
                <w:lang w:val="en-US" w:eastAsia="en-US"/>
              </w:rPr>
            </w:pPr>
            <w:r w:rsidRPr="00864AD4">
              <w:rPr>
                <w:rFonts w:ascii="Arial" w:hAnsi="Arial" w:cs="Arial"/>
                <w:b/>
                <w:bCs/>
                <w:color w:val="000000"/>
                <w:sz w:val="16"/>
                <w:szCs w:val="16"/>
                <w:lang w:val="en-US" w:eastAsia="en-US"/>
              </w:rPr>
              <w:t>22</w:t>
            </w:r>
          </w:p>
        </w:tc>
        <w:tc>
          <w:tcPr>
            <w:tcW w:w="8173" w:type="dxa"/>
            <w:tcBorders>
              <w:top w:val="nil"/>
              <w:left w:val="nil"/>
              <w:bottom w:val="single" w:sz="8" w:space="0" w:color="auto"/>
              <w:right w:val="single" w:sz="8" w:space="0" w:color="000000"/>
            </w:tcBorders>
            <w:shd w:val="clear" w:color="000000" w:fill="D9D9D9"/>
            <w:hideMark/>
          </w:tcPr>
          <w:p w14:paraId="77DB6B83" w14:textId="77777777" w:rsidR="00316BDE" w:rsidRPr="00424CC3" w:rsidRDefault="00316BDE" w:rsidP="00663568">
            <w:pPr>
              <w:jc w:val="left"/>
              <w:rPr>
                <w:rFonts w:ascii="Arial" w:hAnsi="Arial" w:cs="Arial"/>
                <w:b/>
                <w:bCs/>
                <w:color w:val="000000"/>
                <w:sz w:val="16"/>
                <w:szCs w:val="16"/>
                <w:lang w:val="en-US" w:eastAsia="en-US"/>
              </w:rPr>
            </w:pPr>
            <w:r w:rsidRPr="00424CC3">
              <w:rPr>
                <w:rFonts w:ascii="Arial" w:hAnsi="Arial" w:cs="Arial"/>
                <w:b/>
                <w:bCs/>
                <w:color w:val="000000"/>
                <w:sz w:val="16"/>
                <w:szCs w:val="16"/>
                <w:lang w:val="en-US" w:eastAsia="en-US"/>
              </w:rPr>
              <w:t xml:space="preserve">Basel III leverage ratio </w:t>
            </w:r>
          </w:p>
        </w:tc>
        <w:tc>
          <w:tcPr>
            <w:tcW w:w="1380" w:type="dxa"/>
            <w:tcBorders>
              <w:top w:val="nil"/>
              <w:left w:val="nil"/>
              <w:bottom w:val="single" w:sz="8" w:space="0" w:color="auto"/>
              <w:right w:val="single" w:sz="8" w:space="0" w:color="auto"/>
            </w:tcBorders>
            <w:shd w:val="clear" w:color="000000" w:fill="D9D9D9"/>
            <w:hideMark/>
          </w:tcPr>
          <w:p w14:paraId="37B86991" w14:textId="18602FC6" w:rsidR="00316BDE" w:rsidRPr="00216C30" w:rsidRDefault="00EC5139" w:rsidP="00DA343E">
            <w:pPr>
              <w:jc w:val="right"/>
              <w:rPr>
                <w:rFonts w:ascii="Arial" w:hAnsi="Arial" w:cs="Arial"/>
                <w:b/>
                <w:bCs/>
                <w:color w:val="000000"/>
                <w:sz w:val="20"/>
                <w:szCs w:val="20"/>
              </w:rPr>
            </w:pPr>
            <w:r>
              <w:rPr>
                <w:rFonts w:ascii="Arial" w:hAnsi="Arial" w:cs="Arial"/>
                <w:b/>
                <w:bCs/>
                <w:color w:val="000000"/>
                <w:sz w:val="20"/>
                <w:szCs w:val="20"/>
              </w:rPr>
              <w:t>13.4</w:t>
            </w:r>
            <w:r w:rsidR="00316BDE" w:rsidRPr="00216C30">
              <w:rPr>
                <w:rFonts w:ascii="Arial" w:hAnsi="Arial" w:cs="Arial"/>
                <w:b/>
                <w:bCs/>
                <w:color w:val="000000"/>
                <w:sz w:val="20"/>
                <w:szCs w:val="20"/>
              </w:rPr>
              <w:t>%</w:t>
            </w:r>
          </w:p>
        </w:tc>
      </w:tr>
    </w:tbl>
    <w:p w14:paraId="51FB3106" w14:textId="77777777" w:rsidR="00663568" w:rsidRDefault="00663568" w:rsidP="00E53226">
      <w:pPr>
        <w:rPr>
          <w:lang w:val="en-US"/>
        </w:rPr>
      </w:pPr>
    </w:p>
    <w:p w14:paraId="2C94A299" w14:textId="77777777" w:rsidR="008608BA" w:rsidRDefault="008608BA" w:rsidP="00E53226">
      <w:pPr>
        <w:rPr>
          <w:lang w:val="en-US"/>
        </w:rPr>
      </w:pPr>
    </w:p>
    <w:p w14:paraId="5D2EA53E" w14:textId="77777777" w:rsidR="008608BA" w:rsidRDefault="008608BA" w:rsidP="00E53226">
      <w:pPr>
        <w:rPr>
          <w:lang w:val="en-US"/>
        </w:rPr>
      </w:pPr>
    </w:p>
    <w:p w14:paraId="6186174F" w14:textId="77777777" w:rsidR="00631FE2" w:rsidRDefault="00631FE2" w:rsidP="00E53226">
      <w:pPr>
        <w:rPr>
          <w:lang w:val="en-US"/>
        </w:rPr>
      </w:pPr>
    </w:p>
    <w:p w14:paraId="70391F18" w14:textId="77777777" w:rsidR="00663568" w:rsidRDefault="00663568" w:rsidP="00E53226">
      <w:pPr>
        <w:rPr>
          <w:lang w:val="en-US"/>
        </w:rPr>
      </w:pPr>
    </w:p>
    <w:p w14:paraId="5A6ABD0D" w14:textId="77777777" w:rsidR="00663568" w:rsidRDefault="00663568" w:rsidP="00E53226">
      <w:pPr>
        <w:rPr>
          <w:lang w:val="en-US"/>
        </w:rPr>
      </w:pPr>
    </w:p>
    <w:p w14:paraId="4BE373C3" w14:textId="77777777" w:rsidR="00663568" w:rsidRDefault="00663568" w:rsidP="00E53226">
      <w:pPr>
        <w:rPr>
          <w:lang w:val="en-US"/>
        </w:rPr>
      </w:pPr>
    </w:p>
    <w:p w14:paraId="6FDCEA16" w14:textId="77777777" w:rsidR="00663568" w:rsidRDefault="00663568" w:rsidP="00E53226">
      <w:pPr>
        <w:rPr>
          <w:lang w:val="en-US"/>
        </w:rPr>
      </w:pPr>
    </w:p>
    <w:p w14:paraId="090D3D90" w14:textId="77777777" w:rsidR="00813F71" w:rsidRPr="00216C30" w:rsidRDefault="00B0230E" w:rsidP="00F0411C">
      <w:pPr>
        <w:pStyle w:val="Heading1"/>
        <w:tabs>
          <w:tab w:val="left" w:pos="90"/>
        </w:tabs>
        <w:ind w:left="90" w:hanging="90"/>
        <w:rPr>
          <w:rFonts w:ascii="Arial" w:hAnsi="Arial" w:cs="Arial"/>
        </w:rPr>
      </w:pPr>
      <w:bookmarkStart w:id="15" w:name="_Toc38875947"/>
      <w:r w:rsidRPr="00216C30">
        <w:rPr>
          <w:rFonts w:ascii="Arial" w:hAnsi="Arial" w:cs="Arial"/>
        </w:rPr>
        <w:lastRenderedPageBreak/>
        <w:t xml:space="preserve">APPENDIX </w:t>
      </w:r>
      <w:r w:rsidR="008B711F" w:rsidRPr="00216C30">
        <w:rPr>
          <w:rFonts w:ascii="Arial" w:hAnsi="Arial" w:cs="Arial"/>
        </w:rPr>
        <w:t>B</w:t>
      </w:r>
      <w:r w:rsidRPr="00216C30">
        <w:rPr>
          <w:rFonts w:ascii="Arial" w:hAnsi="Arial" w:cs="Arial"/>
        </w:rPr>
        <w:t xml:space="preserve">: </w:t>
      </w:r>
      <w:r w:rsidR="00DC2083" w:rsidRPr="00216C30">
        <w:rPr>
          <w:rFonts w:ascii="Arial" w:hAnsi="Arial" w:cs="Arial"/>
        </w:rPr>
        <w:t>CREDIT RISK</w:t>
      </w:r>
      <w:bookmarkEnd w:id="15"/>
      <w:r w:rsidR="00DC2083" w:rsidRPr="00216C30">
        <w:rPr>
          <w:rFonts w:ascii="Arial" w:hAnsi="Arial" w:cs="Arial"/>
        </w:rPr>
        <w:t xml:space="preserve"> </w:t>
      </w:r>
    </w:p>
    <w:p w14:paraId="5BFF829F" w14:textId="77777777" w:rsidR="00B0230E" w:rsidRPr="00216C30" w:rsidRDefault="00DC2083" w:rsidP="00F0411C">
      <w:pPr>
        <w:pStyle w:val="Heading2"/>
        <w:ind w:left="0"/>
        <w:jc w:val="left"/>
        <w:rPr>
          <w:rFonts w:ascii="Arial" w:hAnsi="Arial" w:cs="Arial"/>
          <w:i w:val="0"/>
        </w:rPr>
      </w:pPr>
      <w:bookmarkStart w:id="16" w:name="_Toc38875948"/>
      <w:r w:rsidRPr="00216C30">
        <w:rPr>
          <w:rFonts w:ascii="Arial" w:hAnsi="Arial" w:cs="Arial"/>
          <w:i w:val="0"/>
        </w:rPr>
        <w:t>GENE</w:t>
      </w:r>
      <w:r w:rsidR="00F1098C" w:rsidRPr="00216C30">
        <w:rPr>
          <w:rFonts w:ascii="Arial" w:hAnsi="Arial" w:cs="Arial"/>
          <w:i w:val="0"/>
        </w:rPr>
        <w:t>RAL</w:t>
      </w:r>
      <w:r w:rsidR="00B0230E" w:rsidRPr="00216C30">
        <w:rPr>
          <w:rFonts w:ascii="Arial" w:hAnsi="Arial" w:cs="Arial"/>
          <w:i w:val="0"/>
        </w:rPr>
        <w:t xml:space="preserve"> </w:t>
      </w:r>
      <w:r w:rsidRPr="00216C30">
        <w:rPr>
          <w:rFonts w:ascii="Arial" w:hAnsi="Arial" w:cs="Arial"/>
          <w:i w:val="0"/>
        </w:rPr>
        <w:t xml:space="preserve">AND QUANTITATIVE </w:t>
      </w:r>
      <w:r w:rsidR="00B0230E" w:rsidRPr="00216C30">
        <w:rPr>
          <w:rFonts w:ascii="Arial" w:hAnsi="Arial" w:cs="Arial"/>
          <w:i w:val="0"/>
        </w:rPr>
        <w:t>DISCLOSURES</w:t>
      </w:r>
      <w:bookmarkEnd w:id="16"/>
    </w:p>
    <w:p w14:paraId="7442E846" w14:textId="77777777" w:rsidR="005C0068" w:rsidRPr="00216C30" w:rsidRDefault="008B711F" w:rsidP="005C0068">
      <w:pPr>
        <w:rPr>
          <w:rFonts w:ascii="Arial" w:hAnsi="Arial" w:cs="Arial"/>
          <w:lang w:val="en-US"/>
        </w:rPr>
      </w:pPr>
      <w:r w:rsidRPr="00216C30">
        <w:rPr>
          <w:rFonts w:ascii="Arial" w:hAnsi="Arial" w:cs="Arial"/>
          <w:lang w:val="en-US"/>
        </w:rPr>
        <w:t>The following information provides quantitative analysis of the Bank’s total credi</w:t>
      </w:r>
      <w:r w:rsidR="00AC5F90" w:rsidRPr="00216C30">
        <w:rPr>
          <w:rFonts w:ascii="Arial" w:hAnsi="Arial" w:cs="Arial"/>
          <w:lang w:val="en-US"/>
        </w:rPr>
        <w:t xml:space="preserve">t card portfolio by account balance, credit limit, delinquency and </w:t>
      </w:r>
      <w:r w:rsidRPr="00216C30">
        <w:rPr>
          <w:rFonts w:ascii="Arial" w:hAnsi="Arial" w:cs="Arial"/>
          <w:lang w:val="en-US"/>
        </w:rPr>
        <w:t>geography</w:t>
      </w:r>
      <w:r w:rsidR="00AC5F90" w:rsidRPr="00216C30">
        <w:rPr>
          <w:rFonts w:ascii="Arial" w:hAnsi="Arial" w:cs="Arial"/>
          <w:lang w:val="en-US"/>
        </w:rPr>
        <w:t>.</w:t>
      </w:r>
    </w:p>
    <w:p w14:paraId="45D5AF74" w14:textId="77777777" w:rsidR="00AC5F90" w:rsidRPr="00216C30" w:rsidRDefault="00AC5F90" w:rsidP="005C0068">
      <w:pPr>
        <w:rPr>
          <w:rFonts w:ascii="Arial" w:hAnsi="Arial" w:cs="Arial"/>
          <w:lang w:val="en-US"/>
        </w:rPr>
      </w:pPr>
    </w:p>
    <w:p w14:paraId="31B8CFE1" w14:textId="77777777" w:rsidR="00052835" w:rsidRPr="00216C30" w:rsidRDefault="00052835" w:rsidP="005C0068">
      <w:pPr>
        <w:rPr>
          <w:rFonts w:ascii="Arial" w:hAnsi="Arial" w:cs="Arial"/>
          <w:lang w:val="en-US"/>
        </w:rPr>
      </w:pPr>
    </w:p>
    <w:tbl>
      <w:tblPr>
        <w:tblW w:w="7406" w:type="dxa"/>
        <w:tblInd w:w="89" w:type="dxa"/>
        <w:tblLook w:val="04A0" w:firstRow="1" w:lastRow="0" w:firstColumn="1" w:lastColumn="0" w:noHBand="0" w:noVBand="1"/>
      </w:tblPr>
      <w:tblGrid>
        <w:gridCol w:w="3799"/>
        <w:gridCol w:w="1954"/>
        <w:gridCol w:w="1653"/>
      </w:tblGrid>
      <w:tr w:rsidR="00AE66C5" w:rsidRPr="00864AD4" w14:paraId="47E65F0B" w14:textId="77777777" w:rsidTr="00AE66C5">
        <w:trPr>
          <w:trHeight w:val="637"/>
        </w:trPr>
        <w:tc>
          <w:tcPr>
            <w:tcW w:w="3799" w:type="dxa"/>
            <w:tcBorders>
              <w:top w:val="single" w:sz="8" w:space="0" w:color="auto"/>
              <w:left w:val="single" w:sz="8" w:space="0" w:color="auto"/>
              <w:bottom w:val="single" w:sz="4" w:space="0" w:color="auto"/>
              <w:right w:val="nil"/>
            </w:tcBorders>
            <w:shd w:val="clear" w:color="auto" w:fill="auto"/>
            <w:noWrap/>
            <w:vAlign w:val="bottom"/>
            <w:hideMark/>
          </w:tcPr>
          <w:p w14:paraId="1A0BC34E" w14:textId="77777777" w:rsidR="00AE66C5" w:rsidRPr="00216C30" w:rsidRDefault="00AE66C5" w:rsidP="00AE66C5">
            <w:pPr>
              <w:jc w:val="lef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Account Balances</w:t>
            </w:r>
          </w:p>
        </w:tc>
        <w:tc>
          <w:tcPr>
            <w:tcW w:w="1954" w:type="dxa"/>
            <w:tcBorders>
              <w:top w:val="single" w:sz="8" w:space="0" w:color="auto"/>
              <w:left w:val="nil"/>
              <w:bottom w:val="single" w:sz="4" w:space="0" w:color="auto"/>
              <w:right w:val="nil"/>
            </w:tcBorders>
            <w:shd w:val="clear" w:color="auto" w:fill="auto"/>
            <w:vAlign w:val="bottom"/>
            <w:hideMark/>
          </w:tcPr>
          <w:p w14:paraId="505055A3" w14:textId="77777777" w:rsidR="00AE66C5" w:rsidRPr="00216C30" w:rsidRDefault="00AE66C5" w:rsidP="00AE66C5">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Receivables Outstanding</w:t>
            </w:r>
          </w:p>
        </w:tc>
        <w:tc>
          <w:tcPr>
            <w:tcW w:w="1653" w:type="dxa"/>
            <w:tcBorders>
              <w:top w:val="single" w:sz="8" w:space="0" w:color="auto"/>
              <w:left w:val="nil"/>
              <w:bottom w:val="single" w:sz="4" w:space="0" w:color="auto"/>
              <w:right w:val="single" w:sz="8" w:space="0" w:color="auto"/>
            </w:tcBorders>
            <w:shd w:val="clear" w:color="auto" w:fill="auto"/>
            <w:vAlign w:val="bottom"/>
            <w:hideMark/>
          </w:tcPr>
          <w:p w14:paraId="34F220F0" w14:textId="77777777" w:rsidR="00AE66C5" w:rsidRPr="00216C30" w:rsidRDefault="00AE66C5" w:rsidP="00AE66C5">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 of Receivables</w:t>
            </w:r>
          </w:p>
        </w:tc>
      </w:tr>
      <w:tr w:rsidR="00EC5139" w:rsidRPr="00864AD4" w14:paraId="20895DBA"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6BD90A40"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Credit Balance</w:t>
            </w:r>
          </w:p>
        </w:tc>
        <w:tc>
          <w:tcPr>
            <w:tcW w:w="1954" w:type="dxa"/>
            <w:tcBorders>
              <w:top w:val="nil"/>
              <w:left w:val="nil"/>
              <w:bottom w:val="nil"/>
              <w:right w:val="nil"/>
            </w:tcBorders>
            <w:shd w:val="clear" w:color="auto" w:fill="auto"/>
            <w:noWrap/>
            <w:vAlign w:val="bottom"/>
            <w:hideMark/>
          </w:tcPr>
          <w:p w14:paraId="006B309D" w14:textId="7EE4BBB0"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($11,083)</w:t>
            </w:r>
          </w:p>
        </w:tc>
        <w:tc>
          <w:tcPr>
            <w:tcW w:w="1653" w:type="dxa"/>
            <w:tcBorders>
              <w:top w:val="nil"/>
              <w:left w:val="nil"/>
              <w:bottom w:val="nil"/>
              <w:right w:val="single" w:sz="8" w:space="0" w:color="auto"/>
            </w:tcBorders>
            <w:shd w:val="clear" w:color="auto" w:fill="auto"/>
            <w:noWrap/>
            <w:vAlign w:val="bottom"/>
            <w:hideMark/>
          </w:tcPr>
          <w:p w14:paraId="2B34B826" w14:textId="540F77CB"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-0.8%</w:t>
            </w:r>
          </w:p>
        </w:tc>
      </w:tr>
      <w:tr w:rsidR="00EC5139" w:rsidRPr="00864AD4" w14:paraId="65543C71"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50DD7855"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Less than or equal to $500.00</w:t>
            </w:r>
          </w:p>
        </w:tc>
        <w:tc>
          <w:tcPr>
            <w:tcW w:w="1954" w:type="dxa"/>
            <w:tcBorders>
              <w:top w:val="nil"/>
              <w:left w:val="nil"/>
              <w:bottom w:val="nil"/>
              <w:right w:val="nil"/>
            </w:tcBorders>
            <w:shd w:val="clear" w:color="auto" w:fill="auto"/>
            <w:noWrap/>
            <w:vAlign w:val="bottom"/>
            <w:hideMark/>
          </w:tcPr>
          <w:p w14:paraId="5B5E2936" w14:textId="18C87B4C"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$58,506 </w:t>
            </w:r>
          </w:p>
        </w:tc>
        <w:tc>
          <w:tcPr>
            <w:tcW w:w="1653" w:type="dxa"/>
            <w:tcBorders>
              <w:top w:val="nil"/>
              <w:left w:val="nil"/>
              <w:bottom w:val="nil"/>
              <w:right w:val="single" w:sz="8" w:space="0" w:color="auto"/>
            </w:tcBorders>
            <w:shd w:val="clear" w:color="auto" w:fill="auto"/>
            <w:noWrap/>
            <w:vAlign w:val="bottom"/>
            <w:hideMark/>
          </w:tcPr>
          <w:p w14:paraId="465FD3FC" w14:textId="46A826AD"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4.4%</w:t>
            </w:r>
          </w:p>
        </w:tc>
      </w:tr>
      <w:tr w:rsidR="00EC5139" w:rsidRPr="00864AD4" w14:paraId="08EDAB48"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6B9FA958"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$500.01 - $1,000.00</w:t>
            </w:r>
          </w:p>
        </w:tc>
        <w:tc>
          <w:tcPr>
            <w:tcW w:w="1954" w:type="dxa"/>
            <w:tcBorders>
              <w:top w:val="nil"/>
              <w:left w:val="nil"/>
              <w:bottom w:val="nil"/>
              <w:right w:val="nil"/>
            </w:tcBorders>
            <w:shd w:val="clear" w:color="auto" w:fill="auto"/>
            <w:noWrap/>
            <w:vAlign w:val="bottom"/>
            <w:hideMark/>
          </w:tcPr>
          <w:p w14:paraId="67307D31" w14:textId="333BE406"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$92,355 </w:t>
            </w:r>
          </w:p>
        </w:tc>
        <w:tc>
          <w:tcPr>
            <w:tcW w:w="1653" w:type="dxa"/>
            <w:tcBorders>
              <w:top w:val="nil"/>
              <w:left w:val="nil"/>
              <w:bottom w:val="nil"/>
              <w:right w:val="single" w:sz="8" w:space="0" w:color="auto"/>
            </w:tcBorders>
            <w:shd w:val="clear" w:color="auto" w:fill="auto"/>
            <w:noWrap/>
            <w:vAlign w:val="bottom"/>
            <w:hideMark/>
          </w:tcPr>
          <w:p w14:paraId="4A3FB41D" w14:textId="03543E9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7.0%</w:t>
            </w:r>
          </w:p>
        </w:tc>
      </w:tr>
      <w:tr w:rsidR="00EC5139" w:rsidRPr="00864AD4" w14:paraId="37176B06"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20D0AE78"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$1,000.01 - $3,000.00</w:t>
            </w:r>
          </w:p>
        </w:tc>
        <w:tc>
          <w:tcPr>
            <w:tcW w:w="1954" w:type="dxa"/>
            <w:tcBorders>
              <w:top w:val="nil"/>
              <w:left w:val="nil"/>
              <w:bottom w:val="nil"/>
              <w:right w:val="nil"/>
            </w:tcBorders>
            <w:shd w:val="clear" w:color="auto" w:fill="auto"/>
            <w:noWrap/>
            <w:vAlign w:val="bottom"/>
            <w:hideMark/>
          </w:tcPr>
          <w:p w14:paraId="00C1E5BF" w14:textId="6F6A6738"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$326,973 </w:t>
            </w:r>
          </w:p>
        </w:tc>
        <w:tc>
          <w:tcPr>
            <w:tcW w:w="1653" w:type="dxa"/>
            <w:tcBorders>
              <w:top w:val="nil"/>
              <w:left w:val="nil"/>
              <w:bottom w:val="nil"/>
              <w:right w:val="single" w:sz="8" w:space="0" w:color="auto"/>
            </w:tcBorders>
            <w:shd w:val="clear" w:color="auto" w:fill="auto"/>
            <w:noWrap/>
            <w:vAlign w:val="bottom"/>
            <w:hideMark/>
          </w:tcPr>
          <w:p w14:paraId="2997940C" w14:textId="7D0505A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24.9%</w:t>
            </w:r>
          </w:p>
        </w:tc>
      </w:tr>
      <w:tr w:rsidR="00EC5139" w:rsidRPr="00864AD4" w14:paraId="685B1476"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1871A248"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$3,000.01 - $5,000.00</w:t>
            </w:r>
          </w:p>
        </w:tc>
        <w:tc>
          <w:tcPr>
            <w:tcW w:w="1954" w:type="dxa"/>
            <w:tcBorders>
              <w:top w:val="nil"/>
              <w:left w:val="nil"/>
              <w:bottom w:val="nil"/>
              <w:right w:val="nil"/>
            </w:tcBorders>
            <w:shd w:val="clear" w:color="auto" w:fill="auto"/>
            <w:noWrap/>
            <w:vAlign w:val="bottom"/>
            <w:hideMark/>
          </w:tcPr>
          <w:p w14:paraId="5A6B5EE6" w14:textId="5BE83DAB"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$254,690 </w:t>
            </w:r>
          </w:p>
        </w:tc>
        <w:tc>
          <w:tcPr>
            <w:tcW w:w="1653" w:type="dxa"/>
            <w:tcBorders>
              <w:top w:val="nil"/>
              <w:left w:val="nil"/>
              <w:bottom w:val="nil"/>
              <w:right w:val="single" w:sz="8" w:space="0" w:color="auto"/>
            </w:tcBorders>
            <w:shd w:val="clear" w:color="auto" w:fill="auto"/>
            <w:noWrap/>
            <w:vAlign w:val="bottom"/>
            <w:hideMark/>
          </w:tcPr>
          <w:p w14:paraId="642486FA" w14:textId="4FF2A3F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19.4%</w:t>
            </w:r>
          </w:p>
        </w:tc>
      </w:tr>
      <w:tr w:rsidR="00EC5139" w:rsidRPr="00864AD4" w14:paraId="7989060C"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092CE570"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$5,000.01 - $10,000.00</w:t>
            </w:r>
          </w:p>
        </w:tc>
        <w:tc>
          <w:tcPr>
            <w:tcW w:w="1954" w:type="dxa"/>
            <w:tcBorders>
              <w:top w:val="nil"/>
              <w:left w:val="nil"/>
              <w:bottom w:val="nil"/>
              <w:right w:val="nil"/>
            </w:tcBorders>
            <w:shd w:val="clear" w:color="auto" w:fill="auto"/>
            <w:noWrap/>
            <w:vAlign w:val="bottom"/>
            <w:hideMark/>
          </w:tcPr>
          <w:p w14:paraId="1A6AA2C0" w14:textId="14BFB230"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$419,113 </w:t>
            </w:r>
          </w:p>
        </w:tc>
        <w:tc>
          <w:tcPr>
            <w:tcW w:w="1653" w:type="dxa"/>
            <w:tcBorders>
              <w:top w:val="nil"/>
              <w:left w:val="nil"/>
              <w:bottom w:val="nil"/>
              <w:right w:val="single" w:sz="8" w:space="0" w:color="auto"/>
            </w:tcBorders>
            <w:shd w:val="clear" w:color="auto" w:fill="auto"/>
            <w:noWrap/>
            <w:vAlign w:val="bottom"/>
            <w:hideMark/>
          </w:tcPr>
          <w:p w14:paraId="07F267E9" w14:textId="03DDFC4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31.9%</w:t>
            </w:r>
          </w:p>
        </w:tc>
      </w:tr>
      <w:tr w:rsidR="00EC5139" w:rsidRPr="00864AD4" w14:paraId="75C425C4" w14:textId="77777777" w:rsidTr="00AE66C5">
        <w:trPr>
          <w:trHeight w:val="335"/>
        </w:trPr>
        <w:tc>
          <w:tcPr>
            <w:tcW w:w="3799" w:type="dxa"/>
            <w:tcBorders>
              <w:top w:val="nil"/>
              <w:left w:val="single" w:sz="8" w:space="0" w:color="auto"/>
              <w:bottom w:val="single" w:sz="4" w:space="0" w:color="auto"/>
              <w:right w:val="nil"/>
            </w:tcBorders>
            <w:shd w:val="clear" w:color="auto" w:fill="auto"/>
            <w:noWrap/>
            <w:vAlign w:val="bottom"/>
            <w:hideMark/>
          </w:tcPr>
          <w:p w14:paraId="18B9E13D"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Greater than $10,000.00</w:t>
            </w:r>
          </w:p>
        </w:tc>
        <w:tc>
          <w:tcPr>
            <w:tcW w:w="1954" w:type="dxa"/>
            <w:tcBorders>
              <w:top w:val="nil"/>
              <w:left w:val="nil"/>
              <w:bottom w:val="single" w:sz="4" w:space="0" w:color="auto"/>
              <w:right w:val="nil"/>
            </w:tcBorders>
            <w:shd w:val="clear" w:color="auto" w:fill="auto"/>
            <w:noWrap/>
            <w:vAlign w:val="bottom"/>
            <w:hideMark/>
          </w:tcPr>
          <w:p w14:paraId="2E02A3C6" w14:textId="020B107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$174,395 </w:t>
            </w:r>
          </w:p>
        </w:tc>
        <w:tc>
          <w:tcPr>
            <w:tcW w:w="1653" w:type="dxa"/>
            <w:tcBorders>
              <w:top w:val="nil"/>
              <w:left w:val="nil"/>
              <w:bottom w:val="single" w:sz="4" w:space="0" w:color="auto"/>
              <w:right w:val="single" w:sz="8" w:space="0" w:color="auto"/>
            </w:tcBorders>
            <w:shd w:val="clear" w:color="auto" w:fill="auto"/>
            <w:noWrap/>
            <w:vAlign w:val="bottom"/>
            <w:hideMark/>
          </w:tcPr>
          <w:p w14:paraId="3651A8C4" w14:textId="6217CA42"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13.3%</w:t>
            </w:r>
          </w:p>
        </w:tc>
      </w:tr>
      <w:tr w:rsidR="00EC5139" w:rsidRPr="00864AD4" w14:paraId="5A737AA5" w14:textId="77777777" w:rsidTr="00AE66C5">
        <w:trPr>
          <w:trHeight w:val="402"/>
        </w:trPr>
        <w:tc>
          <w:tcPr>
            <w:tcW w:w="3799" w:type="dxa"/>
            <w:tcBorders>
              <w:top w:val="nil"/>
              <w:left w:val="single" w:sz="8" w:space="0" w:color="auto"/>
              <w:bottom w:val="single" w:sz="8" w:space="0" w:color="auto"/>
              <w:right w:val="nil"/>
            </w:tcBorders>
            <w:shd w:val="clear" w:color="auto" w:fill="auto"/>
            <w:noWrap/>
            <w:vAlign w:val="bottom"/>
            <w:hideMark/>
          </w:tcPr>
          <w:p w14:paraId="00E9C3BF" w14:textId="77777777" w:rsidR="00EC5139" w:rsidRPr="00216C30" w:rsidRDefault="00EC5139" w:rsidP="00EC5139">
            <w:pPr>
              <w:jc w:val="lef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Total</w:t>
            </w:r>
            <w:r w:rsidRPr="00216C30">
              <w:rPr>
                <w:rFonts w:ascii="Arial" w:hAnsi="Arial" w:cs="Arial"/>
                <w:b/>
                <w:bCs/>
                <w:color w:val="000000"/>
                <w:sz w:val="22"/>
                <w:szCs w:val="22"/>
                <w:vertAlign w:val="superscript"/>
                <w:lang w:val="en-US" w:eastAsia="en-US"/>
              </w:rPr>
              <w:t>1</w:t>
            </w:r>
          </w:p>
        </w:tc>
        <w:tc>
          <w:tcPr>
            <w:tcW w:w="1954" w:type="dxa"/>
            <w:tcBorders>
              <w:top w:val="nil"/>
              <w:left w:val="nil"/>
              <w:bottom w:val="single" w:sz="8" w:space="0" w:color="auto"/>
              <w:right w:val="nil"/>
            </w:tcBorders>
            <w:shd w:val="clear" w:color="auto" w:fill="auto"/>
            <w:noWrap/>
            <w:vAlign w:val="bottom"/>
            <w:hideMark/>
          </w:tcPr>
          <w:p w14:paraId="23072D76" w14:textId="714598F7" w:rsidR="00EC5139" w:rsidRPr="00EC5139" w:rsidRDefault="00EC5139" w:rsidP="00EC5139">
            <w:pPr>
              <w:jc w:val="right"/>
              <w:rPr>
                <w:rFonts w:ascii="Arial" w:hAnsi="Arial" w:cs="Arial"/>
                <w:b/>
                <w:bCs/>
                <w:color w:val="000000"/>
                <w:sz w:val="22"/>
                <w:szCs w:val="22"/>
              </w:rPr>
            </w:pPr>
            <w:r w:rsidRPr="00EC5139">
              <w:rPr>
                <w:rFonts w:ascii="Arial" w:hAnsi="Arial" w:cs="Arial"/>
                <w:b/>
                <w:bCs/>
                <w:color w:val="000000"/>
                <w:sz w:val="22"/>
                <w:szCs w:val="22"/>
              </w:rPr>
              <w:t xml:space="preserve">$1,314,948 </w:t>
            </w:r>
          </w:p>
        </w:tc>
        <w:tc>
          <w:tcPr>
            <w:tcW w:w="1653" w:type="dxa"/>
            <w:tcBorders>
              <w:top w:val="nil"/>
              <w:left w:val="nil"/>
              <w:bottom w:val="single" w:sz="8" w:space="0" w:color="auto"/>
              <w:right w:val="single" w:sz="8" w:space="0" w:color="auto"/>
            </w:tcBorders>
            <w:shd w:val="clear" w:color="auto" w:fill="auto"/>
            <w:noWrap/>
            <w:vAlign w:val="bottom"/>
            <w:hideMark/>
          </w:tcPr>
          <w:p w14:paraId="6567CEC0" w14:textId="1F76AAEC" w:rsidR="00EC5139" w:rsidRPr="00EC5139" w:rsidRDefault="00EC5139" w:rsidP="00EC5139">
            <w:pPr>
              <w:jc w:val="right"/>
              <w:rPr>
                <w:rFonts w:ascii="Arial" w:hAnsi="Arial" w:cs="Arial"/>
                <w:b/>
                <w:bCs/>
                <w:color w:val="000000"/>
                <w:sz w:val="22"/>
                <w:szCs w:val="22"/>
              </w:rPr>
            </w:pPr>
            <w:r w:rsidRPr="00EC5139">
              <w:rPr>
                <w:rFonts w:ascii="Arial" w:hAnsi="Arial" w:cs="Arial"/>
                <w:b/>
                <w:bCs/>
                <w:color w:val="000000"/>
                <w:sz w:val="22"/>
                <w:szCs w:val="22"/>
              </w:rPr>
              <w:t>100.0%</w:t>
            </w:r>
          </w:p>
        </w:tc>
      </w:tr>
      <w:tr w:rsidR="00AE66C5" w:rsidRPr="00864AD4" w14:paraId="2383DA2F" w14:textId="77777777" w:rsidTr="00AE66C5">
        <w:trPr>
          <w:trHeight w:val="335"/>
        </w:trPr>
        <w:tc>
          <w:tcPr>
            <w:tcW w:w="5753" w:type="dxa"/>
            <w:gridSpan w:val="2"/>
            <w:tcBorders>
              <w:top w:val="nil"/>
              <w:left w:val="nil"/>
              <w:bottom w:val="nil"/>
              <w:right w:val="nil"/>
            </w:tcBorders>
            <w:shd w:val="clear" w:color="auto" w:fill="auto"/>
            <w:noWrap/>
            <w:vAlign w:val="bottom"/>
            <w:hideMark/>
          </w:tcPr>
          <w:p w14:paraId="1B34FAD6" w14:textId="77777777" w:rsidR="00AE66C5" w:rsidRPr="00216C30" w:rsidRDefault="00AE66C5" w:rsidP="00AE66C5">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 xml:space="preserve">Note 1: As reported on the </w:t>
            </w:r>
            <w:r w:rsidR="000A5113" w:rsidRPr="00216C30">
              <w:rPr>
                <w:rFonts w:ascii="Arial" w:hAnsi="Arial" w:cs="Arial"/>
                <w:color w:val="000000"/>
                <w:sz w:val="22"/>
                <w:szCs w:val="22"/>
                <w:lang w:val="en-US" w:eastAsia="en-US"/>
              </w:rPr>
              <w:t>BH</w:t>
            </w:r>
            <w:r w:rsidRPr="00216C30">
              <w:rPr>
                <w:rFonts w:ascii="Arial" w:hAnsi="Arial" w:cs="Arial"/>
                <w:color w:val="000000"/>
                <w:sz w:val="22"/>
                <w:szCs w:val="22"/>
                <w:lang w:val="en-US" w:eastAsia="en-US"/>
              </w:rPr>
              <w:t xml:space="preserve"> regulatory submission</w:t>
            </w:r>
          </w:p>
        </w:tc>
        <w:tc>
          <w:tcPr>
            <w:tcW w:w="1653" w:type="dxa"/>
            <w:tcBorders>
              <w:top w:val="nil"/>
              <w:left w:val="nil"/>
              <w:bottom w:val="nil"/>
              <w:right w:val="nil"/>
            </w:tcBorders>
            <w:shd w:val="clear" w:color="auto" w:fill="auto"/>
            <w:noWrap/>
            <w:vAlign w:val="bottom"/>
            <w:hideMark/>
          </w:tcPr>
          <w:p w14:paraId="5A87B6FC" w14:textId="77777777" w:rsidR="00AE66C5" w:rsidRPr="00216C30" w:rsidRDefault="00AE66C5" w:rsidP="00AE66C5">
            <w:pPr>
              <w:jc w:val="left"/>
              <w:rPr>
                <w:rFonts w:ascii="Arial" w:hAnsi="Arial" w:cs="Arial"/>
                <w:color w:val="000000"/>
                <w:sz w:val="22"/>
                <w:szCs w:val="22"/>
                <w:lang w:val="en-US" w:eastAsia="en-US"/>
              </w:rPr>
            </w:pPr>
          </w:p>
        </w:tc>
      </w:tr>
    </w:tbl>
    <w:p w14:paraId="1456017D" w14:textId="77777777" w:rsidR="00AC5F90" w:rsidRDefault="00AC5F90" w:rsidP="005C0068">
      <w:pPr>
        <w:rPr>
          <w:lang w:val="en-US"/>
        </w:rPr>
      </w:pPr>
    </w:p>
    <w:p w14:paraId="4283C5AB" w14:textId="77777777" w:rsidR="00052835" w:rsidRDefault="00052835" w:rsidP="005C0068">
      <w:pPr>
        <w:rPr>
          <w:lang w:val="en-US"/>
        </w:rPr>
      </w:pPr>
    </w:p>
    <w:p w14:paraId="5442FFDF" w14:textId="77777777" w:rsidR="00052835" w:rsidRDefault="00052835" w:rsidP="005C0068">
      <w:pPr>
        <w:rPr>
          <w:lang w:val="en-US"/>
        </w:rPr>
      </w:pPr>
    </w:p>
    <w:p w14:paraId="295EE42E" w14:textId="77777777" w:rsidR="00052835" w:rsidRDefault="00052835" w:rsidP="005C0068">
      <w:pPr>
        <w:rPr>
          <w:lang w:val="en-US"/>
        </w:rPr>
      </w:pPr>
    </w:p>
    <w:tbl>
      <w:tblPr>
        <w:tblW w:w="7500" w:type="dxa"/>
        <w:tblInd w:w="89" w:type="dxa"/>
        <w:tblLook w:val="04A0" w:firstRow="1" w:lastRow="0" w:firstColumn="1" w:lastColumn="0" w:noHBand="0" w:noVBand="1"/>
      </w:tblPr>
      <w:tblGrid>
        <w:gridCol w:w="3848"/>
        <w:gridCol w:w="1978"/>
        <w:gridCol w:w="1674"/>
      </w:tblGrid>
      <w:tr w:rsidR="00AE66C5" w:rsidRPr="00AE66C5" w14:paraId="298F1498" w14:textId="77777777" w:rsidTr="00AE66C5">
        <w:trPr>
          <w:trHeight w:val="691"/>
        </w:trPr>
        <w:tc>
          <w:tcPr>
            <w:tcW w:w="3848" w:type="dxa"/>
            <w:tcBorders>
              <w:top w:val="single" w:sz="8" w:space="0" w:color="auto"/>
              <w:left w:val="single" w:sz="8" w:space="0" w:color="auto"/>
              <w:bottom w:val="single" w:sz="4" w:space="0" w:color="auto"/>
              <w:right w:val="nil"/>
            </w:tcBorders>
            <w:shd w:val="clear" w:color="auto" w:fill="auto"/>
            <w:noWrap/>
            <w:vAlign w:val="bottom"/>
            <w:hideMark/>
          </w:tcPr>
          <w:p w14:paraId="38648E34" w14:textId="77777777" w:rsidR="00AE66C5" w:rsidRPr="00216C30" w:rsidRDefault="00AE66C5" w:rsidP="00AE66C5">
            <w:pPr>
              <w:jc w:val="lef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Credit Limits</w:t>
            </w:r>
          </w:p>
        </w:tc>
        <w:tc>
          <w:tcPr>
            <w:tcW w:w="1978" w:type="dxa"/>
            <w:tcBorders>
              <w:top w:val="single" w:sz="8" w:space="0" w:color="auto"/>
              <w:left w:val="nil"/>
              <w:bottom w:val="single" w:sz="4" w:space="0" w:color="auto"/>
              <w:right w:val="nil"/>
            </w:tcBorders>
            <w:shd w:val="clear" w:color="auto" w:fill="auto"/>
            <w:vAlign w:val="bottom"/>
            <w:hideMark/>
          </w:tcPr>
          <w:p w14:paraId="04B04466" w14:textId="77777777" w:rsidR="00AE66C5" w:rsidRPr="00216C30" w:rsidRDefault="00AE66C5" w:rsidP="00AE66C5">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Receivables Outstanding</w:t>
            </w:r>
          </w:p>
        </w:tc>
        <w:tc>
          <w:tcPr>
            <w:tcW w:w="1674" w:type="dxa"/>
            <w:tcBorders>
              <w:top w:val="single" w:sz="8" w:space="0" w:color="auto"/>
              <w:left w:val="nil"/>
              <w:bottom w:val="single" w:sz="4" w:space="0" w:color="auto"/>
              <w:right w:val="single" w:sz="8" w:space="0" w:color="auto"/>
            </w:tcBorders>
            <w:shd w:val="clear" w:color="auto" w:fill="auto"/>
            <w:vAlign w:val="bottom"/>
            <w:hideMark/>
          </w:tcPr>
          <w:p w14:paraId="793CB8EB" w14:textId="77777777" w:rsidR="00AE66C5" w:rsidRPr="00216C30" w:rsidRDefault="00AE66C5" w:rsidP="00AE66C5">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 of Receivables</w:t>
            </w:r>
          </w:p>
        </w:tc>
      </w:tr>
      <w:tr w:rsidR="00EC5139" w:rsidRPr="00AE66C5" w14:paraId="63FAE8A7"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7115E38E"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Less than or equal to $500.00</w:t>
            </w:r>
          </w:p>
        </w:tc>
        <w:tc>
          <w:tcPr>
            <w:tcW w:w="1978" w:type="dxa"/>
            <w:tcBorders>
              <w:top w:val="nil"/>
              <w:left w:val="nil"/>
              <w:bottom w:val="nil"/>
              <w:right w:val="nil"/>
            </w:tcBorders>
            <w:shd w:val="clear" w:color="auto" w:fill="auto"/>
            <w:noWrap/>
            <w:vAlign w:val="bottom"/>
            <w:hideMark/>
          </w:tcPr>
          <w:p w14:paraId="6FC7C4B4" w14:textId="577A03FC" w:rsidR="00EC5139" w:rsidRPr="00EC5139" w:rsidRDefault="00EC5139" w:rsidP="00EC5139">
            <w:pPr>
              <w:jc w:val="right"/>
              <w:rPr>
                <w:rFonts w:ascii="Arial" w:hAnsi="Arial" w:cs="Arial"/>
                <w:color w:val="000000"/>
                <w:sz w:val="22"/>
                <w:lang w:val="en-US"/>
              </w:rPr>
            </w:pPr>
            <w:r w:rsidRPr="00EC5139">
              <w:rPr>
                <w:rFonts w:ascii="Arial" w:hAnsi="Arial" w:cs="Arial"/>
                <w:color w:val="000000"/>
                <w:sz w:val="22"/>
                <w:szCs w:val="22"/>
              </w:rPr>
              <w:t xml:space="preserve">$2,040 </w:t>
            </w:r>
          </w:p>
        </w:tc>
        <w:tc>
          <w:tcPr>
            <w:tcW w:w="1674" w:type="dxa"/>
            <w:tcBorders>
              <w:top w:val="nil"/>
              <w:left w:val="nil"/>
              <w:bottom w:val="nil"/>
              <w:right w:val="single" w:sz="8" w:space="0" w:color="auto"/>
            </w:tcBorders>
            <w:shd w:val="clear" w:color="auto" w:fill="auto"/>
            <w:noWrap/>
            <w:vAlign w:val="bottom"/>
            <w:hideMark/>
          </w:tcPr>
          <w:p w14:paraId="5DD232FC" w14:textId="043F788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0.2%</w:t>
            </w:r>
          </w:p>
        </w:tc>
      </w:tr>
      <w:tr w:rsidR="00EC5139" w:rsidRPr="00AE66C5" w14:paraId="0B1F735C"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2BBC3938"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$500.01 - $1,000.00</w:t>
            </w:r>
          </w:p>
        </w:tc>
        <w:tc>
          <w:tcPr>
            <w:tcW w:w="1978" w:type="dxa"/>
            <w:tcBorders>
              <w:top w:val="nil"/>
              <w:left w:val="nil"/>
              <w:bottom w:val="nil"/>
              <w:right w:val="nil"/>
            </w:tcBorders>
            <w:shd w:val="clear" w:color="auto" w:fill="auto"/>
            <w:noWrap/>
            <w:vAlign w:val="bottom"/>
            <w:hideMark/>
          </w:tcPr>
          <w:p w14:paraId="6EEBD80E" w14:textId="3E4CB97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$44,425 </w:t>
            </w:r>
          </w:p>
        </w:tc>
        <w:tc>
          <w:tcPr>
            <w:tcW w:w="1674" w:type="dxa"/>
            <w:tcBorders>
              <w:top w:val="nil"/>
              <w:left w:val="nil"/>
              <w:bottom w:val="nil"/>
              <w:right w:val="single" w:sz="8" w:space="0" w:color="auto"/>
            </w:tcBorders>
            <w:shd w:val="clear" w:color="auto" w:fill="auto"/>
            <w:noWrap/>
            <w:vAlign w:val="bottom"/>
            <w:hideMark/>
          </w:tcPr>
          <w:p w14:paraId="68CC928F" w14:textId="488634E7"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3.4%</w:t>
            </w:r>
          </w:p>
        </w:tc>
      </w:tr>
      <w:tr w:rsidR="00EC5139" w:rsidRPr="00AE66C5" w14:paraId="76873FEB"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50994A1E"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$1,000.01 - $3,000.00</w:t>
            </w:r>
          </w:p>
        </w:tc>
        <w:tc>
          <w:tcPr>
            <w:tcW w:w="1978" w:type="dxa"/>
            <w:tcBorders>
              <w:top w:val="nil"/>
              <w:left w:val="nil"/>
              <w:bottom w:val="nil"/>
              <w:right w:val="nil"/>
            </w:tcBorders>
            <w:shd w:val="clear" w:color="auto" w:fill="auto"/>
            <w:noWrap/>
            <w:vAlign w:val="bottom"/>
            <w:hideMark/>
          </w:tcPr>
          <w:p w14:paraId="23BD357F" w14:textId="5B029A0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$143,909 </w:t>
            </w:r>
          </w:p>
        </w:tc>
        <w:tc>
          <w:tcPr>
            <w:tcW w:w="1674" w:type="dxa"/>
            <w:tcBorders>
              <w:top w:val="nil"/>
              <w:left w:val="nil"/>
              <w:bottom w:val="nil"/>
              <w:right w:val="single" w:sz="8" w:space="0" w:color="auto"/>
            </w:tcBorders>
            <w:shd w:val="clear" w:color="auto" w:fill="auto"/>
            <w:noWrap/>
            <w:vAlign w:val="bottom"/>
            <w:hideMark/>
          </w:tcPr>
          <w:p w14:paraId="2CB9FF63" w14:textId="74E15DB9"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10.9%</w:t>
            </w:r>
          </w:p>
        </w:tc>
      </w:tr>
      <w:tr w:rsidR="00EC5139" w:rsidRPr="00AE66C5" w14:paraId="3E189DAC"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3DAC1B19"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$3,000.01 - $5,000.00</w:t>
            </w:r>
          </w:p>
        </w:tc>
        <w:tc>
          <w:tcPr>
            <w:tcW w:w="1978" w:type="dxa"/>
            <w:tcBorders>
              <w:top w:val="nil"/>
              <w:left w:val="nil"/>
              <w:bottom w:val="nil"/>
              <w:right w:val="nil"/>
            </w:tcBorders>
            <w:shd w:val="clear" w:color="auto" w:fill="auto"/>
            <w:noWrap/>
            <w:vAlign w:val="bottom"/>
            <w:hideMark/>
          </w:tcPr>
          <w:p w14:paraId="0E986A52" w14:textId="0CF61389"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$236,047 </w:t>
            </w:r>
          </w:p>
        </w:tc>
        <w:tc>
          <w:tcPr>
            <w:tcW w:w="1674" w:type="dxa"/>
            <w:tcBorders>
              <w:top w:val="nil"/>
              <w:left w:val="nil"/>
              <w:bottom w:val="nil"/>
              <w:right w:val="single" w:sz="8" w:space="0" w:color="auto"/>
            </w:tcBorders>
            <w:shd w:val="clear" w:color="auto" w:fill="auto"/>
            <w:noWrap/>
            <w:vAlign w:val="bottom"/>
            <w:hideMark/>
          </w:tcPr>
          <w:p w14:paraId="08339646" w14:textId="6A38074A"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18.0%</w:t>
            </w:r>
          </w:p>
        </w:tc>
      </w:tr>
      <w:tr w:rsidR="00EC5139" w:rsidRPr="00AE66C5" w14:paraId="5D58F33C"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5165A9B3"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$5,000.01 - $10,000.00</w:t>
            </w:r>
          </w:p>
        </w:tc>
        <w:tc>
          <w:tcPr>
            <w:tcW w:w="1978" w:type="dxa"/>
            <w:tcBorders>
              <w:top w:val="nil"/>
              <w:left w:val="nil"/>
              <w:bottom w:val="nil"/>
              <w:right w:val="nil"/>
            </w:tcBorders>
            <w:shd w:val="clear" w:color="auto" w:fill="auto"/>
            <w:noWrap/>
            <w:vAlign w:val="bottom"/>
            <w:hideMark/>
          </w:tcPr>
          <w:p w14:paraId="442C062D" w14:textId="01D61E01"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$467,675 </w:t>
            </w:r>
          </w:p>
        </w:tc>
        <w:tc>
          <w:tcPr>
            <w:tcW w:w="1674" w:type="dxa"/>
            <w:tcBorders>
              <w:top w:val="nil"/>
              <w:left w:val="nil"/>
              <w:bottom w:val="nil"/>
              <w:right w:val="single" w:sz="8" w:space="0" w:color="auto"/>
            </w:tcBorders>
            <w:shd w:val="clear" w:color="auto" w:fill="auto"/>
            <w:noWrap/>
            <w:vAlign w:val="bottom"/>
            <w:hideMark/>
          </w:tcPr>
          <w:p w14:paraId="67F5D77E" w14:textId="3FC45318"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35.6%</w:t>
            </w:r>
          </w:p>
        </w:tc>
      </w:tr>
      <w:tr w:rsidR="00EC5139" w:rsidRPr="00AE66C5" w14:paraId="52560EFB" w14:textId="77777777" w:rsidTr="00AE66C5">
        <w:trPr>
          <w:trHeight w:val="336"/>
        </w:trPr>
        <w:tc>
          <w:tcPr>
            <w:tcW w:w="3848" w:type="dxa"/>
            <w:tcBorders>
              <w:top w:val="nil"/>
              <w:left w:val="single" w:sz="8" w:space="0" w:color="auto"/>
              <w:bottom w:val="single" w:sz="4" w:space="0" w:color="auto"/>
              <w:right w:val="nil"/>
            </w:tcBorders>
            <w:shd w:val="clear" w:color="auto" w:fill="auto"/>
            <w:noWrap/>
            <w:vAlign w:val="bottom"/>
            <w:hideMark/>
          </w:tcPr>
          <w:p w14:paraId="3878254E"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Greater than $10,000.00</w:t>
            </w:r>
          </w:p>
        </w:tc>
        <w:tc>
          <w:tcPr>
            <w:tcW w:w="1978" w:type="dxa"/>
            <w:tcBorders>
              <w:top w:val="nil"/>
              <w:left w:val="nil"/>
              <w:bottom w:val="single" w:sz="4" w:space="0" w:color="auto"/>
              <w:right w:val="nil"/>
            </w:tcBorders>
            <w:shd w:val="clear" w:color="auto" w:fill="auto"/>
            <w:noWrap/>
            <w:vAlign w:val="bottom"/>
            <w:hideMark/>
          </w:tcPr>
          <w:p w14:paraId="743BF960" w14:textId="4EB420B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$420,852 </w:t>
            </w:r>
          </w:p>
        </w:tc>
        <w:tc>
          <w:tcPr>
            <w:tcW w:w="1674" w:type="dxa"/>
            <w:tcBorders>
              <w:top w:val="nil"/>
              <w:left w:val="nil"/>
              <w:bottom w:val="single" w:sz="4" w:space="0" w:color="auto"/>
              <w:right w:val="single" w:sz="8" w:space="0" w:color="auto"/>
            </w:tcBorders>
            <w:shd w:val="clear" w:color="auto" w:fill="auto"/>
            <w:noWrap/>
            <w:vAlign w:val="bottom"/>
            <w:hideMark/>
          </w:tcPr>
          <w:p w14:paraId="3BDAC220" w14:textId="46498D57"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32.0%</w:t>
            </w:r>
          </w:p>
        </w:tc>
      </w:tr>
      <w:tr w:rsidR="00EC5139" w:rsidRPr="00AE66C5" w14:paraId="1F73CAAC" w14:textId="77777777" w:rsidTr="00AE66C5">
        <w:trPr>
          <w:trHeight w:val="404"/>
        </w:trPr>
        <w:tc>
          <w:tcPr>
            <w:tcW w:w="3848" w:type="dxa"/>
            <w:tcBorders>
              <w:top w:val="nil"/>
              <w:left w:val="single" w:sz="8" w:space="0" w:color="auto"/>
              <w:bottom w:val="single" w:sz="8" w:space="0" w:color="auto"/>
              <w:right w:val="nil"/>
            </w:tcBorders>
            <w:shd w:val="clear" w:color="auto" w:fill="auto"/>
            <w:noWrap/>
            <w:vAlign w:val="bottom"/>
            <w:hideMark/>
          </w:tcPr>
          <w:p w14:paraId="4A89865B" w14:textId="77777777" w:rsidR="00EC5139" w:rsidRPr="00216C30" w:rsidRDefault="00EC5139" w:rsidP="00EC5139">
            <w:pPr>
              <w:jc w:val="lef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Total</w:t>
            </w:r>
            <w:r w:rsidRPr="00216C30">
              <w:rPr>
                <w:rFonts w:ascii="Arial" w:hAnsi="Arial" w:cs="Arial"/>
                <w:b/>
                <w:bCs/>
                <w:color w:val="000000"/>
                <w:sz w:val="22"/>
                <w:szCs w:val="22"/>
                <w:vertAlign w:val="superscript"/>
                <w:lang w:val="en-US" w:eastAsia="en-US"/>
              </w:rPr>
              <w:t>1</w:t>
            </w:r>
          </w:p>
        </w:tc>
        <w:tc>
          <w:tcPr>
            <w:tcW w:w="1978" w:type="dxa"/>
            <w:tcBorders>
              <w:top w:val="nil"/>
              <w:left w:val="nil"/>
              <w:bottom w:val="single" w:sz="8" w:space="0" w:color="auto"/>
              <w:right w:val="nil"/>
            </w:tcBorders>
            <w:shd w:val="clear" w:color="auto" w:fill="auto"/>
            <w:noWrap/>
            <w:vAlign w:val="bottom"/>
            <w:hideMark/>
          </w:tcPr>
          <w:p w14:paraId="18F41C5D" w14:textId="7AA897BD" w:rsidR="00EC5139" w:rsidRPr="00EC5139" w:rsidRDefault="00EC5139" w:rsidP="00EC5139">
            <w:pPr>
              <w:jc w:val="right"/>
              <w:rPr>
                <w:rFonts w:ascii="Arial" w:hAnsi="Arial" w:cs="Arial"/>
                <w:b/>
                <w:color w:val="000000"/>
                <w:sz w:val="22"/>
                <w:lang w:val="en-US"/>
              </w:rPr>
            </w:pPr>
            <w:r w:rsidRPr="00EC5139">
              <w:rPr>
                <w:rFonts w:ascii="Arial" w:hAnsi="Arial" w:cs="Arial"/>
                <w:b/>
                <w:bCs/>
                <w:color w:val="000000"/>
                <w:sz w:val="22"/>
                <w:szCs w:val="22"/>
              </w:rPr>
              <w:t xml:space="preserve">$1,314,948 </w:t>
            </w:r>
          </w:p>
        </w:tc>
        <w:tc>
          <w:tcPr>
            <w:tcW w:w="1674" w:type="dxa"/>
            <w:tcBorders>
              <w:top w:val="nil"/>
              <w:left w:val="nil"/>
              <w:bottom w:val="single" w:sz="8" w:space="0" w:color="auto"/>
              <w:right w:val="single" w:sz="8" w:space="0" w:color="auto"/>
            </w:tcBorders>
            <w:shd w:val="clear" w:color="auto" w:fill="auto"/>
            <w:noWrap/>
            <w:vAlign w:val="bottom"/>
            <w:hideMark/>
          </w:tcPr>
          <w:p w14:paraId="67F0E450" w14:textId="0961929B" w:rsidR="00EC5139" w:rsidRPr="00EC5139" w:rsidRDefault="00EC5139" w:rsidP="00EC5139">
            <w:pPr>
              <w:jc w:val="right"/>
              <w:rPr>
                <w:rFonts w:ascii="Arial" w:hAnsi="Arial" w:cs="Arial"/>
                <w:b/>
                <w:bCs/>
                <w:color w:val="000000"/>
                <w:sz w:val="22"/>
                <w:szCs w:val="22"/>
              </w:rPr>
            </w:pPr>
            <w:r w:rsidRPr="00EC5139">
              <w:rPr>
                <w:rFonts w:ascii="Arial" w:hAnsi="Arial" w:cs="Arial"/>
                <w:b/>
                <w:bCs/>
                <w:color w:val="000000"/>
                <w:sz w:val="22"/>
                <w:szCs w:val="22"/>
              </w:rPr>
              <w:t>100.0%</w:t>
            </w:r>
          </w:p>
        </w:tc>
      </w:tr>
      <w:tr w:rsidR="00AE66C5" w:rsidRPr="00AE66C5" w14:paraId="77BDE015" w14:textId="77777777" w:rsidTr="00AE66C5">
        <w:trPr>
          <w:trHeight w:val="336"/>
        </w:trPr>
        <w:tc>
          <w:tcPr>
            <w:tcW w:w="5826" w:type="dxa"/>
            <w:gridSpan w:val="2"/>
            <w:tcBorders>
              <w:top w:val="nil"/>
              <w:left w:val="nil"/>
              <w:bottom w:val="nil"/>
              <w:right w:val="nil"/>
            </w:tcBorders>
            <w:shd w:val="clear" w:color="auto" w:fill="auto"/>
            <w:noWrap/>
            <w:vAlign w:val="bottom"/>
            <w:hideMark/>
          </w:tcPr>
          <w:p w14:paraId="3832FAC2" w14:textId="77777777" w:rsidR="00AE66C5" w:rsidRPr="00216C30" w:rsidRDefault="00AE66C5" w:rsidP="00AE66C5">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 xml:space="preserve">Note 1: As reported on the </w:t>
            </w:r>
            <w:r w:rsidR="000A5113" w:rsidRPr="00216C30">
              <w:rPr>
                <w:rFonts w:ascii="Arial" w:hAnsi="Arial" w:cs="Arial"/>
                <w:color w:val="000000"/>
                <w:sz w:val="22"/>
                <w:szCs w:val="22"/>
                <w:lang w:val="en-US" w:eastAsia="en-US"/>
              </w:rPr>
              <w:t>BH</w:t>
            </w:r>
            <w:r w:rsidRPr="00216C30">
              <w:rPr>
                <w:rFonts w:ascii="Arial" w:hAnsi="Arial" w:cs="Arial"/>
                <w:color w:val="000000"/>
                <w:sz w:val="22"/>
                <w:szCs w:val="22"/>
                <w:lang w:val="en-US" w:eastAsia="en-US"/>
              </w:rPr>
              <w:t xml:space="preserve"> regulatory submission</w:t>
            </w:r>
          </w:p>
        </w:tc>
        <w:tc>
          <w:tcPr>
            <w:tcW w:w="1674" w:type="dxa"/>
            <w:tcBorders>
              <w:top w:val="nil"/>
              <w:left w:val="nil"/>
              <w:bottom w:val="nil"/>
              <w:right w:val="nil"/>
            </w:tcBorders>
            <w:shd w:val="clear" w:color="auto" w:fill="auto"/>
            <w:noWrap/>
            <w:vAlign w:val="bottom"/>
            <w:hideMark/>
          </w:tcPr>
          <w:p w14:paraId="16CAA8E4" w14:textId="77777777" w:rsidR="00AE66C5" w:rsidRPr="00216C30" w:rsidRDefault="00AE66C5" w:rsidP="00AE66C5">
            <w:pPr>
              <w:jc w:val="left"/>
              <w:rPr>
                <w:rFonts w:ascii="Arial" w:hAnsi="Arial" w:cs="Arial"/>
                <w:color w:val="000000"/>
                <w:sz w:val="22"/>
                <w:szCs w:val="22"/>
                <w:lang w:val="en-US" w:eastAsia="en-US"/>
              </w:rPr>
            </w:pPr>
          </w:p>
        </w:tc>
      </w:tr>
    </w:tbl>
    <w:p w14:paraId="4A4A7ABE" w14:textId="77777777" w:rsidR="00AC5F90" w:rsidRDefault="00AC5F90" w:rsidP="005C0068">
      <w:pPr>
        <w:rPr>
          <w:lang w:val="en-US"/>
        </w:rPr>
      </w:pPr>
    </w:p>
    <w:p w14:paraId="2653A145" w14:textId="77777777" w:rsidR="00AC5F90" w:rsidRDefault="00AC5F90" w:rsidP="005C0068">
      <w:pPr>
        <w:rPr>
          <w:lang w:val="en-US"/>
        </w:rPr>
      </w:pPr>
    </w:p>
    <w:p w14:paraId="715E8A29" w14:textId="77777777" w:rsidR="00AE66C5" w:rsidRDefault="00AE66C5" w:rsidP="005C0068">
      <w:pPr>
        <w:rPr>
          <w:lang w:val="en-US"/>
        </w:rPr>
      </w:pPr>
    </w:p>
    <w:p w14:paraId="52E74CA4" w14:textId="77777777" w:rsidR="00AC5F90" w:rsidRDefault="00AC5F90" w:rsidP="005C0068">
      <w:pPr>
        <w:rPr>
          <w:lang w:val="en-US"/>
        </w:rPr>
      </w:pPr>
    </w:p>
    <w:p w14:paraId="0E741243" w14:textId="77777777" w:rsidR="00AC5F90" w:rsidRDefault="00AC5F90" w:rsidP="005C0068">
      <w:pPr>
        <w:rPr>
          <w:lang w:val="en-US"/>
        </w:rPr>
      </w:pPr>
    </w:p>
    <w:p w14:paraId="15ED5049" w14:textId="77777777" w:rsidR="008608BA" w:rsidRDefault="008608BA" w:rsidP="005C0068">
      <w:pPr>
        <w:rPr>
          <w:lang w:val="en-US"/>
        </w:rPr>
      </w:pPr>
    </w:p>
    <w:p w14:paraId="4C2DBFFC" w14:textId="77777777" w:rsidR="00AC5F90" w:rsidRDefault="00AC5F90" w:rsidP="005C0068">
      <w:pPr>
        <w:rPr>
          <w:lang w:val="en-US"/>
        </w:rPr>
      </w:pPr>
    </w:p>
    <w:p w14:paraId="122AFA9F" w14:textId="77777777" w:rsidR="00813F71" w:rsidRDefault="00813F71" w:rsidP="00631FE2">
      <w:pPr>
        <w:rPr>
          <w:lang w:val="en-US"/>
        </w:rPr>
      </w:pPr>
    </w:p>
    <w:tbl>
      <w:tblPr>
        <w:tblW w:w="6555" w:type="dxa"/>
        <w:tblInd w:w="89" w:type="dxa"/>
        <w:tblLook w:val="04A0" w:firstRow="1" w:lastRow="0" w:firstColumn="1" w:lastColumn="0" w:noHBand="0" w:noVBand="1"/>
      </w:tblPr>
      <w:tblGrid>
        <w:gridCol w:w="3165"/>
        <w:gridCol w:w="1796"/>
        <w:gridCol w:w="1594"/>
      </w:tblGrid>
      <w:tr w:rsidR="00813F71" w:rsidRPr="00864AD4" w14:paraId="4A16AD1C" w14:textId="77777777" w:rsidTr="00813F71">
        <w:trPr>
          <w:trHeight w:val="703"/>
        </w:trPr>
        <w:tc>
          <w:tcPr>
            <w:tcW w:w="3165" w:type="dxa"/>
            <w:tcBorders>
              <w:top w:val="single" w:sz="8" w:space="0" w:color="auto"/>
              <w:left w:val="single" w:sz="8" w:space="0" w:color="auto"/>
              <w:bottom w:val="single" w:sz="4" w:space="0" w:color="auto"/>
              <w:right w:val="nil"/>
            </w:tcBorders>
            <w:shd w:val="clear" w:color="auto" w:fill="auto"/>
            <w:noWrap/>
            <w:vAlign w:val="bottom"/>
            <w:hideMark/>
          </w:tcPr>
          <w:p w14:paraId="15DD5199" w14:textId="77777777" w:rsidR="00813F71" w:rsidRPr="00216C30" w:rsidRDefault="00813F71" w:rsidP="00813F71">
            <w:pPr>
              <w:jc w:val="lef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lastRenderedPageBreak/>
              <w:t>Days Delinquent</w:t>
            </w:r>
          </w:p>
        </w:tc>
        <w:tc>
          <w:tcPr>
            <w:tcW w:w="1796" w:type="dxa"/>
            <w:tcBorders>
              <w:top w:val="single" w:sz="8" w:space="0" w:color="auto"/>
              <w:left w:val="nil"/>
              <w:bottom w:val="single" w:sz="4" w:space="0" w:color="auto"/>
              <w:right w:val="nil"/>
            </w:tcBorders>
            <w:shd w:val="clear" w:color="auto" w:fill="auto"/>
            <w:vAlign w:val="bottom"/>
            <w:hideMark/>
          </w:tcPr>
          <w:p w14:paraId="66901805" w14:textId="77777777" w:rsidR="00813F71" w:rsidRPr="00216C30" w:rsidRDefault="00813F71" w:rsidP="00813F71">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Receivables Outstanding</w:t>
            </w:r>
          </w:p>
        </w:tc>
        <w:tc>
          <w:tcPr>
            <w:tcW w:w="1594" w:type="dxa"/>
            <w:tcBorders>
              <w:top w:val="single" w:sz="8" w:space="0" w:color="auto"/>
              <w:left w:val="nil"/>
              <w:bottom w:val="single" w:sz="4" w:space="0" w:color="auto"/>
              <w:right w:val="single" w:sz="8" w:space="0" w:color="auto"/>
            </w:tcBorders>
            <w:shd w:val="clear" w:color="auto" w:fill="auto"/>
            <w:vAlign w:val="bottom"/>
            <w:hideMark/>
          </w:tcPr>
          <w:p w14:paraId="40F675EC" w14:textId="77777777" w:rsidR="00813F71" w:rsidRPr="00216C30" w:rsidRDefault="00813F71" w:rsidP="00813F71">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 of Receivables</w:t>
            </w:r>
          </w:p>
        </w:tc>
      </w:tr>
      <w:tr w:rsidR="00EC5139" w:rsidRPr="00864AD4" w14:paraId="6EE36C53" w14:textId="77777777" w:rsidTr="00813F71">
        <w:trPr>
          <w:trHeight w:val="404"/>
        </w:trPr>
        <w:tc>
          <w:tcPr>
            <w:tcW w:w="3165" w:type="dxa"/>
            <w:tcBorders>
              <w:top w:val="nil"/>
              <w:left w:val="single" w:sz="8" w:space="0" w:color="auto"/>
              <w:bottom w:val="nil"/>
              <w:right w:val="nil"/>
            </w:tcBorders>
            <w:shd w:val="clear" w:color="auto" w:fill="auto"/>
            <w:noWrap/>
            <w:vAlign w:val="bottom"/>
            <w:hideMark/>
          </w:tcPr>
          <w:p w14:paraId="62FBE4DC"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Current</w:t>
            </w:r>
            <w:r w:rsidRPr="00216C30">
              <w:rPr>
                <w:rFonts w:ascii="Arial" w:hAnsi="Arial" w:cs="Arial"/>
                <w:color w:val="000000"/>
                <w:sz w:val="22"/>
                <w:szCs w:val="22"/>
                <w:vertAlign w:val="superscript"/>
                <w:lang w:val="en-US" w:eastAsia="en-US"/>
              </w:rPr>
              <w:t>1</w:t>
            </w:r>
          </w:p>
        </w:tc>
        <w:tc>
          <w:tcPr>
            <w:tcW w:w="1796" w:type="dxa"/>
            <w:tcBorders>
              <w:top w:val="nil"/>
              <w:left w:val="nil"/>
              <w:bottom w:val="nil"/>
              <w:right w:val="nil"/>
            </w:tcBorders>
            <w:shd w:val="clear" w:color="auto" w:fill="auto"/>
            <w:noWrap/>
            <w:vAlign w:val="bottom"/>
            <w:hideMark/>
          </w:tcPr>
          <w:p w14:paraId="7487B604" w14:textId="4ED61A0B" w:rsidR="00EC5139" w:rsidRPr="00EC5139" w:rsidRDefault="00EC5139" w:rsidP="00EC5139">
            <w:pPr>
              <w:jc w:val="right"/>
              <w:rPr>
                <w:rFonts w:ascii="Arial" w:hAnsi="Arial" w:cs="Arial"/>
                <w:color w:val="000000"/>
                <w:sz w:val="22"/>
                <w:lang w:val="en-US"/>
              </w:rPr>
            </w:pPr>
            <w:r w:rsidRPr="00EC5139">
              <w:rPr>
                <w:rFonts w:ascii="Arial" w:hAnsi="Arial" w:cs="Arial"/>
                <w:color w:val="000000"/>
                <w:sz w:val="22"/>
                <w:szCs w:val="22"/>
              </w:rPr>
              <w:t xml:space="preserve">$1,206,610 </w:t>
            </w:r>
          </w:p>
        </w:tc>
        <w:tc>
          <w:tcPr>
            <w:tcW w:w="1594" w:type="dxa"/>
            <w:tcBorders>
              <w:top w:val="nil"/>
              <w:left w:val="nil"/>
              <w:bottom w:val="nil"/>
              <w:right w:val="single" w:sz="8" w:space="0" w:color="auto"/>
            </w:tcBorders>
            <w:shd w:val="clear" w:color="auto" w:fill="auto"/>
            <w:noWrap/>
            <w:vAlign w:val="bottom"/>
            <w:hideMark/>
          </w:tcPr>
          <w:p w14:paraId="155EBF73" w14:textId="74C822B4"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91.8%</w:t>
            </w:r>
          </w:p>
        </w:tc>
      </w:tr>
      <w:tr w:rsidR="00EC5139" w:rsidRPr="00864AD4" w14:paraId="7DD434F4"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25BFAC48"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1 day to 29 days</w:t>
            </w:r>
          </w:p>
        </w:tc>
        <w:tc>
          <w:tcPr>
            <w:tcW w:w="1796" w:type="dxa"/>
            <w:tcBorders>
              <w:top w:val="nil"/>
              <w:left w:val="nil"/>
              <w:bottom w:val="nil"/>
              <w:right w:val="nil"/>
            </w:tcBorders>
            <w:shd w:val="clear" w:color="auto" w:fill="auto"/>
            <w:noWrap/>
            <w:vAlign w:val="bottom"/>
            <w:hideMark/>
          </w:tcPr>
          <w:p w14:paraId="45411102" w14:textId="35915A59"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$54,908 </w:t>
            </w:r>
          </w:p>
        </w:tc>
        <w:tc>
          <w:tcPr>
            <w:tcW w:w="1594" w:type="dxa"/>
            <w:tcBorders>
              <w:top w:val="nil"/>
              <w:left w:val="nil"/>
              <w:bottom w:val="nil"/>
              <w:right w:val="single" w:sz="8" w:space="0" w:color="auto"/>
            </w:tcBorders>
            <w:shd w:val="clear" w:color="auto" w:fill="auto"/>
            <w:noWrap/>
            <w:vAlign w:val="bottom"/>
            <w:hideMark/>
          </w:tcPr>
          <w:p w14:paraId="6C36652C" w14:textId="5BC41E18"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4.2%</w:t>
            </w:r>
          </w:p>
        </w:tc>
      </w:tr>
      <w:tr w:rsidR="00EC5139" w:rsidRPr="00864AD4" w14:paraId="7605F359"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51006B1A"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30 days to 59 days</w:t>
            </w:r>
          </w:p>
        </w:tc>
        <w:tc>
          <w:tcPr>
            <w:tcW w:w="1796" w:type="dxa"/>
            <w:tcBorders>
              <w:top w:val="nil"/>
              <w:left w:val="nil"/>
              <w:bottom w:val="nil"/>
              <w:right w:val="nil"/>
            </w:tcBorders>
            <w:shd w:val="clear" w:color="auto" w:fill="auto"/>
            <w:noWrap/>
            <w:vAlign w:val="bottom"/>
            <w:hideMark/>
          </w:tcPr>
          <w:p w14:paraId="1819A508" w14:textId="1C487F2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$16,650 </w:t>
            </w:r>
          </w:p>
        </w:tc>
        <w:tc>
          <w:tcPr>
            <w:tcW w:w="1594" w:type="dxa"/>
            <w:tcBorders>
              <w:top w:val="nil"/>
              <w:left w:val="nil"/>
              <w:bottom w:val="nil"/>
              <w:right w:val="single" w:sz="8" w:space="0" w:color="auto"/>
            </w:tcBorders>
            <w:shd w:val="clear" w:color="auto" w:fill="auto"/>
            <w:noWrap/>
            <w:vAlign w:val="bottom"/>
            <w:hideMark/>
          </w:tcPr>
          <w:p w14:paraId="2ADCDC8E" w14:textId="5961E4B7"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1.3%</w:t>
            </w:r>
          </w:p>
        </w:tc>
      </w:tr>
      <w:tr w:rsidR="00EC5139" w:rsidRPr="00864AD4" w14:paraId="60B42F0E"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5D558D46"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60 days to 89 days</w:t>
            </w:r>
          </w:p>
        </w:tc>
        <w:tc>
          <w:tcPr>
            <w:tcW w:w="1796" w:type="dxa"/>
            <w:tcBorders>
              <w:top w:val="nil"/>
              <w:left w:val="nil"/>
              <w:bottom w:val="nil"/>
              <w:right w:val="nil"/>
            </w:tcBorders>
            <w:shd w:val="clear" w:color="auto" w:fill="auto"/>
            <w:noWrap/>
            <w:vAlign w:val="bottom"/>
            <w:hideMark/>
          </w:tcPr>
          <w:p w14:paraId="36199EA8" w14:textId="03EF5AB6"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$11,611 </w:t>
            </w:r>
          </w:p>
        </w:tc>
        <w:tc>
          <w:tcPr>
            <w:tcW w:w="1594" w:type="dxa"/>
            <w:tcBorders>
              <w:top w:val="nil"/>
              <w:left w:val="nil"/>
              <w:bottom w:val="nil"/>
              <w:right w:val="single" w:sz="8" w:space="0" w:color="auto"/>
            </w:tcBorders>
            <w:shd w:val="clear" w:color="auto" w:fill="auto"/>
            <w:noWrap/>
            <w:vAlign w:val="bottom"/>
            <w:hideMark/>
          </w:tcPr>
          <w:p w14:paraId="0FE85FE9" w14:textId="5C5D3C9A"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0.9%</w:t>
            </w:r>
          </w:p>
        </w:tc>
      </w:tr>
      <w:tr w:rsidR="00EC5139" w:rsidRPr="00864AD4" w14:paraId="78F62C82"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7B7E1BE0"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90 days to 119 days</w:t>
            </w:r>
          </w:p>
        </w:tc>
        <w:tc>
          <w:tcPr>
            <w:tcW w:w="1796" w:type="dxa"/>
            <w:tcBorders>
              <w:top w:val="nil"/>
              <w:left w:val="nil"/>
              <w:bottom w:val="nil"/>
              <w:right w:val="nil"/>
            </w:tcBorders>
            <w:shd w:val="clear" w:color="auto" w:fill="auto"/>
            <w:noWrap/>
            <w:vAlign w:val="bottom"/>
            <w:hideMark/>
          </w:tcPr>
          <w:p w14:paraId="300060E1" w14:textId="6CC0705A"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$9,557 </w:t>
            </w:r>
          </w:p>
        </w:tc>
        <w:tc>
          <w:tcPr>
            <w:tcW w:w="1594" w:type="dxa"/>
            <w:tcBorders>
              <w:top w:val="nil"/>
              <w:left w:val="nil"/>
              <w:bottom w:val="nil"/>
              <w:right w:val="single" w:sz="8" w:space="0" w:color="auto"/>
            </w:tcBorders>
            <w:shd w:val="clear" w:color="auto" w:fill="auto"/>
            <w:noWrap/>
            <w:vAlign w:val="bottom"/>
            <w:hideMark/>
          </w:tcPr>
          <w:p w14:paraId="19915EFF" w14:textId="63C575ED"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0.7%</w:t>
            </w:r>
          </w:p>
        </w:tc>
      </w:tr>
      <w:tr w:rsidR="00EC5139" w:rsidRPr="00864AD4" w14:paraId="6A38641D"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17166932"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120 days to 159 days</w:t>
            </w:r>
          </w:p>
        </w:tc>
        <w:tc>
          <w:tcPr>
            <w:tcW w:w="1796" w:type="dxa"/>
            <w:tcBorders>
              <w:top w:val="nil"/>
              <w:left w:val="nil"/>
              <w:bottom w:val="nil"/>
              <w:right w:val="nil"/>
            </w:tcBorders>
            <w:shd w:val="clear" w:color="auto" w:fill="auto"/>
            <w:noWrap/>
            <w:vAlign w:val="bottom"/>
            <w:hideMark/>
          </w:tcPr>
          <w:p w14:paraId="51CE6147" w14:textId="153369B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$8,222 </w:t>
            </w:r>
          </w:p>
        </w:tc>
        <w:tc>
          <w:tcPr>
            <w:tcW w:w="1594" w:type="dxa"/>
            <w:tcBorders>
              <w:top w:val="nil"/>
              <w:left w:val="nil"/>
              <w:bottom w:val="nil"/>
              <w:right w:val="single" w:sz="8" w:space="0" w:color="auto"/>
            </w:tcBorders>
            <w:shd w:val="clear" w:color="auto" w:fill="auto"/>
            <w:noWrap/>
            <w:vAlign w:val="bottom"/>
            <w:hideMark/>
          </w:tcPr>
          <w:p w14:paraId="7576D0E2" w14:textId="0D28007C"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0.6%</w:t>
            </w:r>
          </w:p>
        </w:tc>
      </w:tr>
      <w:tr w:rsidR="00EC5139" w:rsidRPr="00864AD4" w14:paraId="4B61A466" w14:textId="77777777" w:rsidTr="00813F71">
        <w:trPr>
          <w:trHeight w:val="351"/>
        </w:trPr>
        <w:tc>
          <w:tcPr>
            <w:tcW w:w="3165" w:type="dxa"/>
            <w:tcBorders>
              <w:top w:val="nil"/>
              <w:left w:val="single" w:sz="8" w:space="0" w:color="auto"/>
              <w:bottom w:val="single" w:sz="4" w:space="0" w:color="auto"/>
              <w:right w:val="nil"/>
            </w:tcBorders>
            <w:shd w:val="clear" w:color="auto" w:fill="auto"/>
            <w:noWrap/>
            <w:vAlign w:val="bottom"/>
            <w:hideMark/>
          </w:tcPr>
          <w:p w14:paraId="106589AD" w14:textId="77777777" w:rsidR="00EC5139" w:rsidRPr="00216C30" w:rsidRDefault="00EC5139" w:rsidP="00EC5139">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160 days to 179 days</w:t>
            </w:r>
          </w:p>
        </w:tc>
        <w:tc>
          <w:tcPr>
            <w:tcW w:w="1796" w:type="dxa"/>
            <w:tcBorders>
              <w:top w:val="nil"/>
              <w:left w:val="nil"/>
              <w:bottom w:val="single" w:sz="4" w:space="0" w:color="auto"/>
              <w:right w:val="nil"/>
            </w:tcBorders>
            <w:shd w:val="clear" w:color="auto" w:fill="auto"/>
            <w:noWrap/>
            <w:vAlign w:val="bottom"/>
            <w:hideMark/>
          </w:tcPr>
          <w:p w14:paraId="225F5CDC" w14:textId="783F7B35"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$7,391 </w:t>
            </w:r>
          </w:p>
        </w:tc>
        <w:tc>
          <w:tcPr>
            <w:tcW w:w="1594" w:type="dxa"/>
            <w:tcBorders>
              <w:top w:val="nil"/>
              <w:left w:val="nil"/>
              <w:bottom w:val="single" w:sz="4" w:space="0" w:color="auto"/>
              <w:right w:val="single" w:sz="8" w:space="0" w:color="auto"/>
            </w:tcBorders>
            <w:shd w:val="clear" w:color="auto" w:fill="auto"/>
            <w:noWrap/>
            <w:vAlign w:val="bottom"/>
            <w:hideMark/>
          </w:tcPr>
          <w:p w14:paraId="3F7A2170" w14:textId="1AAAB44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0.6%</w:t>
            </w:r>
          </w:p>
        </w:tc>
      </w:tr>
      <w:tr w:rsidR="00EC5139" w:rsidRPr="00864AD4" w14:paraId="7D734BA3" w14:textId="77777777" w:rsidTr="00813F71">
        <w:trPr>
          <w:trHeight w:val="422"/>
        </w:trPr>
        <w:tc>
          <w:tcPr>
            <w:tcW w:w="3165" w:type="dxa"/>
            <w:tcBorders>
              <w:top w:val="nil"/>
              <w:left w:val="single" w:sz="8" w:space="0" w:color="auto"/>
              <w:bottom w:val="single" w:sz="8" w:space="0" w:color="auto"/>
              <w:right w:val="nil"/>
            </w:tcBorders>
            <w:shd w:val="clear" w:color="auto" w:fill="auto"/>
            <w:noWrap/>
            <w:vAlign w:val="bottom"/>
            <w:hideMark/>
          </w:tcPr>
          <w:p w14:paraId="7BECA74E" w14:textId="77777777" w:rsidR="00EC5139" w:rsidRPr="00216C30" w:rsidRDefault="00EC5139" w:rsidP="00EC5139">
            <w:pPr>
              <w:jc w:val="lef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Total</w:t>
            </w:r>
            <w:r w:rsidRPr="00216C30">
              <w:rPr>
                <w:rFonts w:ascii="Arial" w:hAnsi="Arial" w:cs="Arial"/>
                <w:b/>
                <w:bCs/>
                <w:color w:val="000000"/>
                <w:sz w:val="22"/>
                <w:szCs w:val="22"/>
                <w:vertAlign w:val="superscript"/>
                <w:lang w:val="en-US" w:eastAsia="en-US"/>
              </w:rPr>
              <w:t>2</w:t>
            </w:r>
          </w:p>
        </w:tc>
        <w:tc>
          <w:tcPr>
            <w:tcW w:w="1796" w:type="dxa"/>
            <w:tcBorders>
              <w:top w:val="nil"/>
              <w:left w:val="nil"/>
              <w:bottom w:val="single" w:sz="8" w:space="0" w:color="auto"/>
              <w:right w:val="nil"/>
            </w:tcBorders>
            <w:shd w:val="clear" w:color="auto" w:fill="auto"/>
            <w:noWrap/>
            <w:vAlign w:val="bottom"/>
            <w:hideMark/>
          </w:tcPr>
          <w:p w14:paraId="40DB5BC3" w14:textId="55F5991A" w:rsidR="00EC5139" w:rsidRPr="00EC5139" w:rsidRDefault="00EC5139" w:rsidP="00EC5139">
            <w:pPr>
              <w:jc w:val="right"/>
              <w:rPr>
                <w:rFonts w:ascii="Arial" w:hAnsi="Arial" w:cs="Arial"/>
                <w:b/>
                <w:bCs/>
                <w:color w:val="000000"/>
                <w:sz w:val="22"/>
                <w:szCs w:val="22"/>
              </w:rPr>
            </w:pPr>
            <w:r w:rsidRPr="00EC5139">
              <w:rPr>
                <w:rFonts w:ascii="Arial" w:hAnsi="Arial" w:cs="Arial"/>
                <w:b/>
                <w:bCs/>
                <w:color w:val="000000"/>
                <w:sz w:val="22"/>
                <w:szCs w:val="22"/>
              </w:rPr>
              <w:t xml:space="preserve">$1,314,948 </w:t>
            </w:r>
          </w:p>
        </w:tc>
        <w:tc>
          <w:tcPr>
            <w:tcW w:w="1594" w:type="dxa"/>
            <w:tcBorders>
              <w:top w:val="nil"/>
              <w:left w:val="nil"/>
              <w:bottom w:val="single" w:sz="8" w:space="0" w:color="auto"/>
              <w:right w:val="single" w:sz="8" w:space="0" w:color="auto"/>
            </w:tcBorders>
            <w:shd w:val="clear" w:color="auto" w:fill="auto"/>
            <w:noWrap/>
            <w:vAlign w:val="bottom"/>
            <w:hideMark/>
          </w:tcPr>
          <w:p w14:paraId="3A5C2E91" w14:textId="65BB4A62" w:rsidR="00EC5139" w:rsidRPr="00EC5139" w:rsidRDefault="00EC5139" w:rsidP="00EC5139">
            <w:pPr>
              <w:jc w:val="right"/>
              <w:rPr>
                <w:rFonts w:ascii="Arial" w:hAnsi="Arial" w:cs="Arial"/>
                <w:b/>
                <w:bCs/>
                <w:color w:val="000000"/>
                <w:sz w:val="22"/>
                <w:szCs w:val="22"/>
              </w:rPr>
            </w:pPr>
            <w:r w:rsidRPr="00EC5139">
              <w:rPr>
                <w:rFonts w:ascii="Arial" w:hAnsi="Arial" w:cs="Arial"/>
                <w:b/>
                <w:bCs/>
                <w:color w:val="000000"/>
                <w:sz w:val="22"/>
                <w:szCs w:val="22"/>
              </w:rPr>
              <w:t>100.0%</w:t>
            </w:r>
          </w:p>
        </w:tc>
      </w:tr>
    </w:tbl>
    <w:p w14:paraId="4B2999AF" w14:textId="77777777" w:rsidR="005C0068" w:rsidRPr="00216C30" w:rsidRDefault="00631FE2" w:rsidP="00813F71">
      <w:pPr>
        <w:rPr>
          <w:rFonts w:ascii="Arial" w:hAnsi="Arial" w:cs="Arial"/>
          <w:sz w:val="22"/>
          <w:lang w:val="en-US"/>
        </w:rPr>
      </w:pPr>
      <w:r w:rsidRPr="00216C30">
        <w:rPr>
          <w:rFonts w:ascii="Arial" w:hAnsi="Arial" w:cs="Arial"/>
          <w:sz w:val="22"/>
          <w:lang w:val="en-US"/>
        </w:rPr>
        <w:t xml:space="preserve">Note 1: </w:t>
      </w:r>
      <w:r w:rsidR="00822E7E" w:rsidRPr="00216C30">
        <w:rPr>
          <w:rFonts w:ascii="Arial" w:hAnsi="Arial" w:cs="Arial"/>
          <w:sz w:val="22"/>
          <w:lang w:val="en-US"/>
        </w:rPr>
        <w:t>Current category includes zero balance and credit balances</w:t>
      </w:r>
    </w:p>
    <w:p w14:paraId="15F9B6F4" w14:textId="77777777" w:rsidR="00822E7E" w:rsidRPr="00216C30" w:rsidRDefault="00822E7E" w:rsidP="00822E7E">
      <w:pPr>
        <w:rPr>
          <w:rFonts w:ascii="Arial" w:hAnsi="Arial" w:cs="Arial"/>
          <w:sz w:val="22"/>
          <w:lang w:val="en-US"/>
        </w:rPr>
      </w:pPr>
      <w:r w:rsidRPr="00216C30">
        <w:rPr>
          <w:rFonts w:ascii="Arial" w:hAnsi="Arial" w:cs="Arial"/>
          <w:sz w:val="22"/>
          <w:lang w:val="en-US"/>
        </w:rPr>
        <w:t>Note 2: As reported on the BH regulatory submission</w:t>
      </w:r>
    </w:p>
    <w:p w14:paraId="27EC6318" w14:textId="77777777" w:rsidR="00052835" w:rsidRPr="00216C30" w:rsidRDefault="00052835" w:rsidP="00813F71">
      <w:pPr>
        <w:rPr>
          <w:rFonts w:ascii="Arial" w:hAnsi="Arial" w:cs="Arial"/>
          <w:sz w:val="22"/>
          <w:lang w:val="en-US"/>
        </w:rPr>
      </w:pPr>
    </w:p>
    <w:p w14:paraId="32A248E4" w14:textId="77777777" w:rsidR="00052835" w:rsidRPr="00216C30" w:rsidRDefault="00052835" w:rsidP="00813F71">
      <w:pPr>
        <w:rPr>
          <w:rFonts w:ascii="Arial" w:hAnsi="Arial" w:cs="Arial"/>
          <w:lang w:val="en-US"/>
        </w:rPr>
      </w:pPr>
    </w:p>
    <w:p w14:paraId="16D31D03" w14:textId="77777777" w:rsidR="00052835" w:rsidRPr="00216C30" w:rsidRDefault="00052835" w:rsidP="00813F71">
      <w:pPr>
        <w:rPr>
          <w:rFonts w:ascii="Arial" w:hAnsi="Arial" w:cs="Arial"/>
          <w:lang w:val="en-US"/>
        </w:rPr>
      </w:pPr>
    </w:p>
    <w:p w14:paraId="3C0CA8D3" w14:textId="77777777" w:rsidR="00813F71" w:rsidRPr="00216C30" w:rsidRDefault="00813F71" w:rsidP="00813F71">
      <w:pPr>
        <w:rPr>
          <w:rFonts w:ascii="Arial" w:hAnsi="Arial" w:cs="Arial"/>
          <w:lang w:val="en-US"/>
        </w:rPr>
      </w:pPr>
    </w:p>
    <w:tbl>
      <w:tblPr>
        <w:tblW w:w="6684" w:type="dxa"/>
        <w:tblInd w:w="89" w:type="dxa"/>
        <w:tblLook w:val="04A0" w:firstRow="1" w:lastRow="0" w:firstColumn="1" w:lastColumn="0" w:noHBand="0" w:noVBand="1"/>
      </w:tblPr>
      <w:tblGrid>
        <w:gridCol w:w="3228"/>
        <w:gridCol w:w="1831"/>
        <w:gridCol w:w="1625"/>
      </w:tblGrid>
      <w:tr w:rsidR="00813F71" w:rsidRPr="00864AD4" w14:paraId="3F6743DE" w14:textId="77777777" w:rsidTr="000736FF">
        <w:trPr>
          <w:trHeight w:val="676"/>
        </w:trPr>
        <w:tc>
          <w:tcPr>
            <w:tcW w:w="3228" w:type="dxa"/>
            <w:tcBorders>
              <w:top w:val="single" w:sz="8" w:space="0" w:color="auto"/>
              <w:left w:val="single" w:sz="8" w:space="0" w:color="auto"/>
              <w:bottom w:val="single" w:sz="4" w:space="0" w:color="auto"/>
              <w:right w:val="nil"/>
            </w:tcBorders>
            <w:shd w:val="clear" w:color="auto" w:fill="auto"/>
            <w:noWrap/>
            <w:vAlign w:val="bottom"/>
            <w:hideMark/>
          </w:tcPr>
          <w:p w14:paraId="4CB56AFD" w14:textId="77777777" w:rsidR="00813F71" w:rsidRPr="00216C30" w:rsidRDefault="000D3818" w:rsidP="00813F71">
            <w:pPr>
              <w:jc w:val="lef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By Province</w:t>
            </w:r>
          </w:p>
        </w:tc>
        <w:tc>
          <w:tcPr>
            <w:tcW w:w="1831" w:type="dxa"/>
            <w:tcBorders>
              <w:top w:val="single" w:sz="8" w:space="0" w:color="auto"/>
              <w:left w:val="nil"/>
              <w:bottom w:val="single" w:sz="4" w:space="0" w:color="auto"/>
              <w:right w:val="nil"/>
            </w:tcBorders>
            <w:shd w:val="clear" w:color="auto" w:fill="auto"/>
            <w:vAlign w:val="bottom"/>
            <w:hideMark/>
          </w:tcPr>
          <w:p w14:paraId="66D6388F" w14:textId="77777777" w:rsidR="00813F71" w:rsidRPr="00216C30" w:rsidRDefault="00813F71" w:rsidP="00813F71">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Receivables Outstanding</w:t>
            </w:r>
          </w:p>
        </w:tc>
        <w:tc>
          <w:tcPr>
            <w:tcW w:w="1625" w:type="dxa"/>
            <w:tcBorders>
              <w:top w:val="single" w:sz="8" w:space="0" w:color="auto"/>
              <w:left w:val="nil"/>
              <w:bottom w:val="single" w:sz="4" w:space="0" w:color="auto"/>
              <w:right w:val="single" w:sz="8" w:space="0" w:color="auto"/>
            </w:tcBorders>
            <w:shd w:val="clear" w:color="auto" w:fill="auto"/>
            <w:vAlign w:val="bottom"/>
            <w:hideMark/>
          </w:tcPr>
          <w:p w14:paraId="4344BF2F" w14:textId="77777777" w:rsidR="00813F71" w:rsidRPr="00216C30" w:rsidRDefault="00813F71" w:rsidP="00813F71">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 of Receivables</w:t>
            </w:r>
          </w:p>
        </w:tc>
      </w:tr>
      <w:tr w:rsidR="00EC5139" w:rsidRPr="00864AD4" w14:paraId="6DEA9CAE"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77A374A9"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Alberta</w:t>
            </w:r>
          </w:p>
        </w:tc>
        <w:tc>
          <w:tcPr>
            <w:tcW w:w="1831" w:type="dxa"/>
            <w:tcBorders>
              <w:top w:val="nil"/>
              <w:left w:val="nil"/>
              <w:bottom w:val="nil"/>
              <w:right w:val="nil"/>
            </w:tcBorders>
            <w:shd w:val="clear" w:color="auto" w:fill="auto"/>
            <w:noWrap/>
            <w:vAlign w:val="bottom"/>
            <w:hideMark/>
          </w:tcPr>
          <w:p w14:paraId="54BF6F81" w14:textId="16C71B4B" w:rsidR="00EC5139" w:rsidRPr="00EC5139" w:rsidRDefault="00EC5139" w:rsidP="00EC5139">
            <w:pPr>
              <w:jc w:val="right"/>
              <w:rPr>
                <w:rFonts w:ascii="Arial" w:hAnsi="Arial" w:cs="Arial"/>
                <w:color w:val="000000"/>
                <w:sz w:val="22"/>
                <w:lang w:val="en-US"/>
              </w:rPr>
            </w:pPr>
            <w:r w:rsidRPr="00EC5139">
              <w:rPr>
                <w:rFonts w:ascii="Arial" w:hAnsi="Arial" w:cs="Arial"/>
                <w:color w:val="000000"/>
                <w:sz w:val="22"/>
                <w:szCs w:val="22"/>
              </w:rPr>
              <w:t xml:space="preserve">$196,344 </w:t>
            </w:r>
          </w:p>
        </w:tc>
        <w:tc>
          <w:tcPr>
            <w:tcW w:w="1625" w:type="dxa"/>
            <w:tcBorders>
              <w:top w:val="nil"/>
              <w:left w:val="nil"/>
              <w:bottom w:val="nil"/>
              <w:right w:val="single" w:sz="8" w:space="0" w:color="auto"/>
            </w:tcBorders>
            <w:shd w:val="clear" w:color="auto" w:fill="auto"/>
            <w:noWrap/>
            <w:vAlign w:val="bottom"/>
            <w:hideMark/>
          </w:tcPr>
          <w:p w14:paraId="4F25884C" w14:textId="08D495D4"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14.9%</w:t>
            </w:r>
          </w:p>
        </w:tc>
      </w:tr>
      <w:tr w:rsidR="00EC5139" w:rsidRPr="00864AD4" w14:paraId="5C1AA24D"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5C89AD94"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British Columbia</w:t>
            </w:r>
          </w:p>
        </w:tc>
        <w:tc>
          <w:tcPr>
            <w:tcW w:w="1831" w:type="dxa"/>
            <w:tcBorders>
              <w:top w:val="nil"/>
              <w:left w:val="nil"/>
              <w:bottom w:val="nil"/>
              <w:right w:val="nil"/>
            </w:tcBorders>
            <w:shd w:val="clear" w:color="auto" w:fill="auto"/>
            <w:noWrap/>
            <w:vAlign w:val="bottom"/>
            <w:hideMark/>
          </w:tcPr>
          <w:p w14:paraId="28D4F609" w14:textId="200CC7E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$179,367 </w:t>
            </w:r>
          </w:p>
        </w:tc>
        <w:tc>
          <w:tcPr>
            <w:tcW w:w="1625" w:type="dxa"/>
            <w:tcBorders>
              <w:top w:val="nil"/>
              <w:left w:val="nil"/>
              <w:bottom w:val="nil"/>
              <w:right w:val="single" w:sz="8" w:space="0" w:color="auto"/>
            </w:tcBorders>
            <w:shd w:val="clear" w:color="auto" w:fill="auto"/>
            <w:noWrap/>
            <w:vAlign w:val="bottom"/>
            <w:hideMark/>
          </w:tcPr>
          <w:p w14:paraId="0CEF86FF" w14:textId="3EB9EBD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13.6%</w:t>
            </w:r>
          </w:p>
        </w:tc>
      </w:tr>
      <w:tr w:rsidR="00EC5139" w:rsidRPr="00864AD4" w14:paraId="54D0938E"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04D1509F"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Manitoba</w:t>
            </w:r>
          </w:p>
        </w:tc>
        <w:tc>
          <w:tcPr>
            <w:tcW w:w="1831" w:type="dxa"/>
            <w:tcBorders>
              <w:top w:val="nil"/>
              <w:left w:val="nil"/>
              <w:bottom w:val="nil"/>
              <w:right w:val="nil"/>
            </w:tcBorders>
            <w:shd w:val="clear" w:color="auto" w:fill="auto"/>
            <w:noWrap/>
            <w:vAlign w:val="bottom"/>
            <w:hideMark/>
          </w:tcPr>
          <w:p w14:paraId="6D0EA5C5" w14:textId="3213A248"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$57,692 </w:t>
            </w:r>
          </w:p>
        </w:tc>
        <w:tc>
          <w:tcPr>
            <w:tcW w:w="1625" w:type="dxa"/>
            <w:tcBorders>
              <w:top w:val="nil"/>
              <w:left w:val="nil"/>
              <w:bottom w:val="nil"/>
              <w:right w:val="single" w:sz="8" w:space="0" w:color="auto"/>
            </w:tcBorders>
            <w:shd w:val="clear" w:color="auto" w:fill="auto"/>
            <w:noWrap/>
            <w:vAlign w:val="bottom"/>
            <w:hideMark/>
          </w:tcPr>
          <w:p w14:paraId="65FA77BE" w14:textId="1F731A2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4.4%</w:t>
            </w:r>
          </w:p>
        </w:tc>
      </w:tr>
      <w:tr w:rsidR="00EC5139" w:rsidRPr="00864AD4" w14:paraId="218BFB2B"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60B99F20"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New Brunswick</w:t>
            </w:r>
          </w:p>
        </w:tc>
        <w:tc>
          <w:tcPr>
            <w:tcW w:w="1831" w:type="dxa"/>
            <w:tcBorders>
              <w:top w:val="nil"/>
              <w:left w:val="nil"/>
              <w:bottom w:val="nil"/>
              <w:right w:val="nil"/>
            </w:tcBorders>
            <w:shd w:val="clear" w:color="auto" w:fill="auto"/>
            <w:noWrap/>
            <w:vAlign w:val="bottom"/>
            <w:hideMark/>
          </w:tcPr>
          <w:p w14:paraId="4C1A8815" w14:textId="6AF1E981"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$21,638 </w:t>
            </w:r>
          </w:p>
        </w:tc>
        <w:tc>
          <w:tcPr>
            <w:tcW w:w="1625" w:type="dxa"/>
            <w:tcBorders>
              <w:top w:val="nil"/>
              <w:left w:val="nil"/>
              <w:bottom w:val="nil"/>
              <w:right w:val="single" w:sz="8" w:space="0" w:color="auto"/>
            </w:tcBorders>
            <w:shd w:val="clear" w:color="auto" w:fill="auto"/>
            <w:noWrap/>
            <w:vAlign w:val="bottom"/>
            <w:hideMark/>
          </w:tcPr>
          <w:p w14:paraId="30E37854" w14:textId="285047B8"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1.6%</w:t>
            </w:r>
          </w:p>
        </w:tc>
      </w:tr>
      <w:tr w:rsidR="00EC5139" w:rsidRPr="00864AD4" w14:paraId="0D4FAD0D"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122F737F"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Newfoundland</w:t>
            </w:r>
          </w:p>
        </w:tc>
        <w:tc>
          <w:tcPr>
            <w:tcW w:w="1831" w:type="dxa"/>
            <w:tcBorders>
              <w:top w:val="nil"/>
              <w:left w:val="nil"/>
              <w:bottom w:val="nil"/>
              <w:right w:val="nil"/>
            </w:tcBorders>
            <w:shd w:val="clear" w:color="auto" w:fill="auto"/>
            <w:noWrap/>
            <w:vAlign w:val="bottom"/>
            <w:hideMark/>
          </w:tcPr>
          <w:p w14:paraId="416E7E91" w14:textId="5CF22A83"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$12,697 </w:t>
            </w:r>
          </w:p>
        </w:tc>
        <w:tc>
          <w:tcPr>
            <w:tcW w:w="1625" w:type="dxa"/>
            <w:tcBorders>
              <w:top w:val="nil"/>
              <w:left w:val="nil"/>
              <w:bottom w:val="nil"/>
              <w:right w:val="single" w:sz="8" w:space="0" w:color="auto"/>
            </w:tcBorders>
            <w:shd w:val="clear" w:color="auto" w:fill="auto"/>
            <w:noWrap/>
            <w:vAlign w:val="bottom"/>
            <w:hideMark/>
          </w:tcPr>
          <w:p w14:paraId="46FA59B1" w14:textId="6461B353"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1.0%</w:t>
            </w:r>
          </w:p>
        </w:tc>
      </w:tr>
      <w:tr w:rsidR="00EC5139" w:rsidRPr="00864AD4" w14:paraId="5AEDD13C"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44AE85B8"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Northwest Territory</w:t>
            </w:r>
          </w:p>
        </w:tc>
        <w:tc>
          <w:tcPr>
            <w:tcW w:w="1831" w:type="dxa"/>
            <w:tcBorders>
              <w:top w:val="nil"/>
              <w:left w:val="nil"/>
              <w:bottom w:val="nil"/>
              <w:right w:val="nil"/>
            </w:tcBorders>
            <w:shd w:val="clear" w:color="auto" w:fill="auto"/>
            <w:noWrap/>
            <w:vAlign w:val="bottom"/>
            <w:hideMark/>
          </w:tcPr>
          <w:p w14:paraId="764CADF2" w14:textId="36E3661B"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$1,514 </w:t>
            </w:r>
          </w:p>
        </w:tc>
        <w:tc>
          <w:tcPr>
            <w:tcW w:w="1625" w:type="dxa"/>
            <w:tcBorders>
              <w:top w:val="nil"/>
              <w:left w:val="nil"/>
              <w:bottom w:val="nil"/>
              <w:right w:val="single" w:sz="8" w:space="0" w:color="auto"/>
            </w:tcBorders>
            <w:shd w:val="clear" w:color="auto" w:fill="auto"/>
            <w:noWrap/>
            <w:vAlign w:val="bottom"/>
            <w:hideMark/>
          </w:tcPr>
          <w:p w14:paraId="76BA0F67" w14:textId="04AA754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0.1%</w:t>
            </w:r>
          </w:p>
        </w:tc>
      </w:tr>
      <w:tr w:rsidR="00EC5139" w:rsidRPr="00864AD4" w14:paraId="1FA72DD9"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7080DD82"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Nova Scotia</w:t>
            </w:r>
          </w:p>
        </w:tc>
        <w:tc>
          <w:tcPr>
            <w:tcW w:w="1831" w:type="dxa"/>
            <w:tcBorders>
              <w:top w:val="nil"/>
              <w:left w:val="nil"/>
              <w:bottom w:val="nil"/>
              <w:right w:val="nil"/>
            </w:tcBorders>
            <w:shd w:val="clear" w:color="auto" w:fill="auto"/>
            <w:noWrap/>
            <w:vAlign w:val="bottom"/>
            <w:hideMark/>
          </w:tcPr>
          <w:p w14:paraId="1ABEC7F4" w14:textId="5C25116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$27,763 </w:t>
            </w:r>
          </w:p>
        </w:tc>
        <w:tc>
          <w:tcPr>
            <w:tcW w:w="1625" w:type="dxa"/>
            <w:tcBorders>
              <w:top w:val="nil"/>
              <w:left w:val="nil"/>
              <w:bottom w:val="nil"/>
              <w:right w:val="single" w:sz="8" w:space="0" w:color="auto"/>
            </w:tcBorders>
            <w:shd w:val="clear" w:color="auto" w:fill="auto"/>
            <w:noWrap/>
            <w:vAlign w:val="bottom"/>
            <w:hideMark/>
          </w:tcPr>
          <w:p w14:paraId="24099BB5" w14:textId="3F14312D"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2.1%</w:t>
            </w:r>
          </w:p>
        </w:tc>
      </w:tr>
      <w:tr w:rsidR="00EC5139" w:rsidRPr="00864AD4" w14:paraId="26CF6410"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6B968F0F"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Nunavut Territory</w:t>
            </w:r>
          </w:p>
        </w:tc>
        <w:tc>
          <w:tcPr>
            <w:tcW w:w="1831" w:type="dxa"/>
            <w:tcBorders>
              <w:top w:val="nil"/>
              <w:left w:val="nil"/>
              <w:bottom w:val="nil"/>
              <w:right w:val="nil"/>
            </w:tcBorders>
            <w:shd w:val="clear" w:color="auto" w:fill="auto"/>
            <w:noWrap/>
            <w:vAlign w:val="bottom"/>
            <w:hideMark/>
          </w:tcPr>
          <w:p w14:paraId="09FB1941" w14:textId="54DB75DD"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$383 </w:t>
            </w:r>
          </w:p>
        </w:tc>
        <w:tc>
          <w:tcPr>
            <w:tcW w:w="1625" w:type="dxa"/>
            <w:tcBorders>
              <w:top w:val="nil"/>
              <w:left w:val="nil"/>
              <w:bottom w:val="nil"/>
              <w:right w:val="single" w:sz="8" w:space="0" w:color="auto"/>
            </w:tcBorders>
            <w:shd w:val="clear" w:color="auto" w:fill="auto"/>
            <w:noWrap/>
            <w:vAlign w:val="bottom"/>
            <w:hideMark/>
          </w:tcPr>
          <w:p w14:paraId="01048E2F" w14:textId="3E69F09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0.0%</w:t>
            </w:r>
          </w:p>
        </w:tc>
      </w:tr>
      <w:tr w:rsidR="00EC5139" w:rsidRPr="00864AD4" w14:paraId="46052458"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7D3E7C1F"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Ontario</w:t>
            </w:r>
          </w:p>
        </w:tc>
        <w:tc>
          <w:tcPr>
            <w:tcW w:w="1831" w:type="dxa"/>
            <w:tcBorders>
              <w:top w:val="nil"/>
              <w:left w:val="nil"/>
              <w:bottom w:val="nil"/>
              <w:right w:val="nil"/>
            </w:tcBorders>
            <w:shd w:val="clear" w:color="auto" w:fill="auto"/>
            <w:noWrap/>
            <w:vAlign w:val="bottom"/>
            <w:hideMark/>
          </w:tcPr>
          <w:p w14:paraId="612CB373" w14:textId="2869C2DE"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$763,736 </w:t>
            </w:r>
          </w:p>
        </w:tc>
        <w:tc>
          <w:tcPr>
            <w:tcW w:w="1625" w:type="dxa"/>
            <w:tcBorders>
              <w:top w:val="nil"/>
              <w:left w:val="nil"/>
              <w:bottom w:val="nil"/>
              <w:right w:val="single" w:sz="8" w:space="0" w:color="auto"/>
            </w:tcBorders>
            <w:shd w:val="clear" w:color="auto" w:fill="auto"/>
            <w:noWrap/>
            <w:vAlign w:val="bottom"/>
            <w:hideMark/>
          </w:tcPr>
          <w:p w14:paraId="0AED2084" w14:textId="5C030559"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58.1%</w:t>
            </w:r>
          </w:p>
        </w:tc>
      </w:tr>
      <w:tr w:rsidR="00EC5139" w:rsidRPr="00864AD4" w14:paraId="620D127C"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4E502D3E"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Prince Edward Island</w:t>
            </w:r>
          </w:p>
        </w:tc>
        <w:tc>
          <w:tcPr>
            <w:tcW w:w="1831" w:type="dxa"/>
            <w:tcBorders>
              <w:top w:val="nil"/>
              <w:left w:val="nil"/>
              <w:bottom w:val="nil"/>
              <w:right w:val="nil"/>
            </w:tcBorders>
            <w:shd w:val="clear" w:color="auto" w:fill="auto"/>
            <w:noWrap/>
            <w:vAlign w:val="bottom"/>
            <w:hideMark/>
          </w:tcPr>
          <w:p w14:paraId="74E4853A" w14:textId="0BEBF978"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$3,227 </w:t>
            </w:r>
          </w:p>
        </w:tc>
        <w:tc>
          <w:tcPr>
            <w:tcW w:w="1625" w:type="dxa"/>
            <w:tcBorders>
              <w:top w:val="nil"/>
              <w:left w:val="nil"/>
              <w:bottom w:val="nil"/>
              <w:right w:val="single" w:sz="8" w:space="0" w:color="auto"/>
            </w:tcBorders>
            <w:shd w:val="clear" w:color="auto" w:fill="auto"/>
            <w:noWrap/>
            <w:vAlign w:val="bottom"/>
            <w:hideMark/>
          </w:tcPr>
          <w:p w14:paraId="7DD7FCE0" w14:textId="5D789624"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0.2%</w:t>
            </w:r>
          </w:p>
        </w:tc>
      </w:tr>
      <w:tr w:rsidR="00EC5139" w:rsidRPr="00864AD4" w14:paraId="7EBFCE1D"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2A8B1BA7"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Quebec</w:t>
            </w:r>
          </w:p>
        </w:tc>
        <w:tc>
          <w:tcPr>
            <w:tcW w:w="1831" w:type="dxa"/>
            <w:tcBorders>
              <w:top w:val="nil"/>
              <w:left w:val="nil"/>
              <w:bottom w:val="nil"/>
              <w:right w:val="nil"/>
            </w:tcBorders>
            <w:shd w:val="clear" w:color="auto" w:fill="auto"/>
            <w:noWrap/>
            <w:vAlign w:val="bottom"/>
            <w:hideMark/>
          </w:tcPr>
          <w:p w14:paraId="35B0B221" w14:textId="7C02C2EF"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$13,882 </w:t>
            </w:r>
          </w:p>
        </w:tc>
        <w:tc>
          <w:tcPr>
            <w:tcW w:w="1625" w:type="dxa"/>
            <w:tcBorders>
              <w:top w:val="nil"/>
              <w:left w:val="nil"/>
              <w:bottom w:val="nil"/>
              <w:right w:val="single" w:sz="8" w:space="0" w:color="auto"/>
            </w:tcBorders>
            <w:shd w:val="clear" w:color="auto" w:fill="auto"/>
            <w:noWrap/>
            <w:vAlign w:val="bottom"/>
            <w:hideMark/>
          </w:tcPr>
          <w:p w14:paraId="56AE7B5F" w14:textId="5FEF2064"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1.1%</w:t>
            </w:r>
          </w:p>
        </w:tc>
      </w:tr>
      <w:tr w:rsidR="00EC5139" w:rsidRPr="00864AD4" w14:paraId="01547B3E"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1F53303D"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Saskatchewan</w:t>
            </w:r>
          </w:p>
        </w:tc>
        <w:tc>
          <w:tcPr>
            <w:tcW w:w="1831" w:type="dxa"/>
            <w:tcBorders>
              <w:top w:val="nil"/>
              <w:left w:val="nil"/>
              <w:bottom w:val="nil"/>
              <w:right w:val="nil"/>
            </w:tcBorders>
            <w:shd w:val="clear" w:color="auto" w:fill="auto"/>
            <w:noWrap/>
            <w:vAlign w:val="bottom"/>
            <w:hideMark/>
          </w:tcPr>
          <w:p w14:paraId="556E57D2" w14:textId="57A10FC3"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$35,353 </w:t>
            </w:r>
          </w:p>
        </w:tc>
        <w:tc>
          <w:tcPr>
            <w:tcW w:w="1625" w:type="dxa"/>
            <w:tcBorders>
              <w:top w:val="nil"/>
              <w:left w:val="nil"/>
              <w:bottom w:val="nil"/>
              <w:right w:val="single" w:sz="8" w:space="0" w:color="auto"/>
            </w:tcBorders>
            <w:shd w:val="clear" w:color="auto" w:fill="auto"/>
            <w:noWrap/>
            <w:vAlign w:val="bottom"/>
            <w:hideMark/>
          </w:tcPr>
          <w:p w14:paraId="052BEDF5" w14:textId="1DC2FFF9"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2.7%</w:t>
            </w:r>
          </w:p>
        </w:tc>
      </w:tr>
      <w:tr w:rsidR="00EC5139" w:rsidRPr="00864AD4" w14:paraId="14B6D4A4"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2108A595"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Yukon Territory</w:t>
            </w:r>
          </w:p>
        </w:tc>
        <w:tc>
          <w:tcPr>
            <w:tcW w:w="1831" w:type="dxa"/>
            <w:tcBorders>
              <w:top w:val="nil"/>
              <w:left w:val="nil"/>
              <w:bottom w:val="nil"/>
              <w:right w:val="nil"/>
            </w:tcBorders>
            <w:shd w:val="clear" w:color="auto" w:fill="auto"/>
            <w:noWrap/>
            <w:vAlign w:val="bottom"/>
            <w:hideMark/>
          </w:tcPr>
          <w:p w14:paraId="63C51779" w14:textId="00475830"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$1,297 </w:t>
            </w:r>
          </w:p>
        </w:tc>
        <w:tc>
          <w:tcPr>
            <w:tcW w:w="1625" w:type="dxa"/>
            <w:tcBorders>
              <w:top w:val="nil"/>
              <w:left w:val="nil"/>
              <w:bottom w:val="nil"/>
              <w:right w:val="single" w:sz="8" w:space="0" w:color="auto"/>
            </w:tcBorders>
            <w:shd w:val="clear" w:color="auto" w:fill="auto"/>
            <w:noWrap/>
            <w:vAlign w:val="bottom"/>
            <w:hideMark/>
          </w:tcPr>
          <w:p w14:paraId="1B227A34" w14:textId="700D1C63"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0.1%</w:t>
            </w:r>
          </w:p>
        </w:tc>
      </w:tr>
      <w:tr w:rsidR="00EC5139" w:rsidRPr="00864AD4" w14:paraId="1BFA318D"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45085073"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US</w:t>
            </w:r>
          </w:p>
        </w:tc>
        <w:tc>
          <w:tcPr>
            <w:tcW w:w="1831" w:type="dxa"/>
            <w:tcBorders>
              <w:top w:val="nil"/>
              <w:left w:val="nil"/>
              <w:bottom w:val="nil"/>
              <w:right w:val="nil"/>
            </w:tcBorders>
            <w:shd w:val="clear" w:color="auto" w:fill="auto"/>
            <w:noWrap/>
            <w:vAlign w:val="bottom"/>
            <w:hideMark/>
          </w:tcPr>
          <w:p w14:paraId="6B032072" w14:textId="207B0DEC"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$55 </w:t>
            </w:r>
          </w:p>
        </w:tc>
        <w:tc>
          <w:tcPr>
            <w:tcW w:w="1625" w:type="dxa"/>
            <w:tcBorders>
              <w:top w:val="nil"/>
              <w:left w:val="nil"/>
              <w:bottom w:val="nil"/>
              <w:right w:val="single" w:sz="8" w:space="0" w:color="auto"/>
            </w:tcBorders>
            <w:shd w:val="clear" w:color="auto" w:fill="auto"/>
            <w:noWrap/>
            <w:vAlign w:val="bottom"/>
            <w:hideMark/>
          </w:tcPr>
          <w:p w14:paraId="720098FE" w14:textId="2F912E61"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0.0%</w:t>
            </w:r>
          </w:p>
        </w:tc>
      </w:tr>
      <w:tr w:rsidR="00EC5139" w:rsidRPr="00864AD4" w14:paraId="7E1D7196" w14:textId="77777777" w:rsidTr="000736FF">
        <w:trPr>
          <w:trHeight w:val="337"/>
        </w:trPr>
        <w:tc>
          <w:tcPr>
            <w:tcW w:w="3228" w:type="dxa"/>
            <w:tcBorders>
              <w:top w:val="nil"/>
              <w:left w:val="single" w:sz="8" w:space="0" w:color="auto"/>
              <w:bottom w:val="single" w:sz="4" w:space="0" w:color="auto"/>
              <w:right w:val="nil"/>
            </w:tcBorders>
            <w:shd w:val="clear" w:color="auto" w:fill="auto"/>
            <w:noWrap/>
            <w:vAlign w:val="bottom"/>
            <w:hideMark/>
          </w:tcPr>
          <w:p w14:paraId="684BA9A3" w14:textId="77777777" w:rsidR="00EC5139" w:rsidRPr="00216C30" w:rsidRDefault="00EC5139" w:rsidP="00EC5139">
            <w:pPr>
              <w:rPr>
                <w:rFonts w:ascii="Arial" w:hAnsi="Arial" w:cs="Arial"/>
                <w:color w:val="000000"/>
                <w:sz w:val="22"/>
                <w:szCs w:val="22"/>
              </w:rPr>
            </w:pPr>
            <w:r w:rsidRPr="00216C30">
              <w:rPr>
                <w:rFonts w:ascii="Arial" w:hAnsi="Arial" w:cs="Arial"/>
                <w:color w:val="000000"/>
                <w:sz w:val="22"/>
                <w:szCs w:val="22"/>
              </w:rPr>
              <w:t>Other</w:t>
            </w:r>
          </w:p>
        </w:tc>
        <w:tc>
          <w:tcPr>
            <w:tcW w:w="1831" w:type="dxa"/>
            <w:tcBorders>
              <w:top w:val="nil"/>
              <w:left w:val="nil"/>
              <w:bottom w:val="single" w:sz="4" w:space="0" w:color="auto"/>
              <w:right w:val="nil"/>
            </w:tcBorders>
            <w:shd w:val="clear" w:color="auto" w:fill="auto"/>
            <w:noWrap/>
            <w:vAlign w:val="bottom"/>
            <w:hideMark/>
          </w:tcPr>
          <w:p w14:paraId="39B7D3FE" w14:textId="5B29EE28"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 xml:space="preserve">$0 </w:t>
            </w:r>
          </w:p>
        </w:tc>
        <w:tc>
          <w:tcPr>
            <w:tcW w:w="1625" w:type="dxa"/>
            <w:tcBorders>
              <w:top w:val="nil"/>
              <w:left w:val="nil"/>
              <w:bottom w:val="single" w:sz="4" w:space="0" w:color="auto"/>
              <w:right w:val="single" w:sz="8" w:space="0" w:color="auto"/>
            </w:tcBorders>
            <w:shd w:val="clear" w:color="auto" w:fill="auto"/>
            <w:noWrap/>
            <w:vAlign w:val="bottom"/>
            <w:hideMark/>
          </w:tcPr>
          <w:p w14:paraId="5C4C81D3" w14:textId="59EFC9CD" w:rsidR="00EC5139" w:rsidRPr="00EC5139" w:rsidRDefault="00EC5139" w:rsidP="00EC5139">
            <w:pPr>
              <w:jc w:val="right"/>
              <w:rPr>
                <w:rFonts w:ascii="Arial" w:hAnsi="Arial" w:cs="Arial"/>
                <w:color w:val="000000"/>
                <w:sz w:val="22"/>
                <w:szCs w:val="22"/>
              </w:rPr>
            </w:pPr>
            <w:r w:rsidRPr="00EC5139">
              <w:rPr>
                <w:rFonts w:ascii="Arial" w:hAnsi="Arial" w:cs="Arial"/>
                <w:color w:val="000000"/>
                <w:sz w:val="22"/>
                <w:szCs w:val="22"/>
              </w:rPr>
              <w:t>0.0%</w:t>
            </w:r>
          </w:p>
        </w:tc>
      </w:tr>
      <w:tr w:rsidR="00EC5139" w:rsidRPr="00864AD4" w14:paraId="464EB1D4" w14:textId="77777777" w:rsidTr="000736FF">
        <w:trPr>
          <w:trHeight w:val="405"/>
        </w:trPr>
        <w:tc>
          <w:tcPr>
            <w:tcW w:w="3228" w:type="dxa"/>
            <w:tcBorders>
              <w:top w:val="nil"/>
              <w:left w:val="single" w:sz="8" w:space="0" w:color="auto"/>
              <w:bottom w:val="single" w:sz="8" w:space="0" w:color="auto"/>
              <w:right w:val="nil"/>
            </w:tcBorders>
            <w:shd w:val="clear" w:color="auto" w:fill="auto"/>
            <w:noWrap/>
            <w:vAlign w:val="bottom"/>
            <w:hideMark/>
          </w:tcPr>
          <w:p w14:paraId="4A9B83F3" w14:textId="77777777" w:rsidR="00EC5139" w:rsidRPr="00216C30" w:rsidRDefault="00EC5139" w:rsidP="00EC5139">
            <w:pPr>
              <w:rPr>
                <w:rFonts w:ascii="Arial" w:hAnsi="Arial" w:cs="Arial"/>
                <w:b/>
                <w:bCs/>
                <w:color w:val="000000"/>
                <w:sz w:val="22"/>
                <w:szCs w:val="22"/>
              </w:rPr>
            </w:pPr>
            <w:r w:rsidRPr="00216C30">
              <w:rPr>
                <w:rFonts w:ascii="Arial" w:hAnsi="Arial" w:cs="Arial"/>
                <w:b/>
                <w:bCs/>
                <w:color w:val="000000"/>
                <w:sz w:val="22"/>
                <w:szCs w:val="22"/>
              </w:rPr>
              <w:t>Total</w:t>
            </w:r>
            <w:r w:rsidRPr="00216C30">
              <w:rPr>
                <w:rFonts w:ascii="Arial" w:hAnsi="Arial" w:cs="Arial"/>
                <w:b/>
                <w:bCs/>
                <w:color w:val="000000"/>
                <w:sz w:val="22"/>
                <w:szCs w:val="22"/>
                <w:vertAlign w:val="superscript"/>
              </w:rPr>
              <w:t>1</w:t>
            </w:r>
          </w:p>
        </w:tc>
        <w:tc>
          <w:tcPr>
            <w:tcW w:w="1831" w:type="dxa"/>
            <w:tcBorders>
              <w:top w:val="nil"/>
              <w:left w:val="nil"/>
              <w:bottom w:val="single" w:sz="8" w:space="0" w:color="auto"/>
              <w:right w:val="nil"/>
            </w:tcBorders>
            <w:shd w:val="clear" w:color="auto" w:fill="auto"/>
            <w:noWrap/>
            <w:vAlign w:val="bottom"/>
            <w:hideMark/>
          </w:tcPr>
          <w:p w14:paraId="4B21CFE0" w14:textId="0DB5A491" w:rsidR="00EC5139" w:rsidRPr="00EC5139" w:rsidRDefault="00EC5139" w:rsidP="00EC5139">
            <w:pPr>
              <w:jc w:val="right"/>
              <w:rPr>
                <w:rFonts w:ascii="Arial" w:hAnsi="Arial" w:cs="Arial"/>
                <w:b/>
                <w:bCs/>
                <w:color w:val="000000"/>
                <w:sz w:val="22"/>
                <w:szCs w:val="22"/>
              </w:rPr>
            </w:pPr>
            <w:r w:rsidRPr="00EC5139">
              <w:rPr>
                <w:rFonts w:ascii="Arial" w:hAnsi="Arial" w:cs="Arial"/>
                <w:b/>
                <w:bCs/>
                <w:color w:val="000000"/>
                <w:sz w:val="22"/>
                <w:szCs w:val="22"/>
              </w:rPr>
              <w:t xml:space="preserve">$1,314,948 </w:t>
            </w:r>
          </w:p>
        </w:tc>
        <w:tc>
          <w:tcPr>
            <w:tcW w:w="1625" w:type="dxa"/>
            <w:tcBorders>
              <w:top w:val="nil"/>
              <w:left w:val="nil"/>
              <w:bottom w:val="single" w:sz="8" w:space="0" w:color="auto"/>
              <w:right w:val="single" w:sz="8" w:space="0" w:color="auto"/>
            </w:tcBorders>
            <w:shd w:val="clear" w:color="auto" w:fill="auto"/>
            <w:noWrap/>
            <w:vAlign w:val="bottom"/>
            <w:hideMark/>
          </w:tcPr>
          <w:p w14:paraId="6B30B2F8" w14:textId="4AD43846" w:rsidR="00EC5139" w:rsidRPr="00EC5139" w:rsidRDefault="00EC5139" w:rsidP="00EC5139">
            <w:pPr>
              <w:jc w:val="right"/>
              <w:rPr>
                <w:rFonts w:ascii="Arial" w:hAnsi="Arial" w:cs="Arial"/>
                <w:b/>
                <w:bCs/>
                <w:color w:val="000000"/>
                <w:sz w:val="22"/>
                <w:szCs w:val="22"/>
              </w:rPr>
            </w:pPr>
            <w:r w:rsidRPr="00EC5139">
              <w:rPr>
                <w:rFonts w:ascii="Arial" w:hAnsi="Arial" w:cs="Arial"/>
                <w:b/>
                <w:bCs/>
                <w:color w:val="000000"/>
                <w:sz w:val="22"/>
                <w:szCs w:val="22"/>
              </w:rPr>
              <w:t>100.0%</w:t>
            </w:r>
          </w:p>
        </w:tc>
      </w:tr>
    </w:tbl>
    <w:p w14:paraId="5408F4D8" w14:textId="77777777" w:rsidR="00631FE2" w:rsidRPr="00216C30" w:rsidRDefault="00631FE2" w:rsidP="00631FE2">
      <w:pPr>
        <w:rPr>
          <w:rFonts w:ascii="Arial" w:hAnsi="Arial" w:cs="Arial"/>
          <w:sz w:val="22"/>
          <w:lang w:val="en-US"/>
        </w:rPr>
      </w:pPr>
      <w:r w:rsidRPr="00216C30">
        <w:rPr>
          <w:rFonts w:ascii="Arial" w:hAnsi="Arial" w:cs="Arial"/>
          <w:sz w:val="22"/>
          <w:lang w:val="en-US"/>
        </w:rPr>
        <w:t xml:space="preserve">Note 1: As reported on the </w:t>
      </w:r>
      <w:r w:rsidR="000A5113" w:rsidRPr="00216C30">
        <w:rPr>
          <w:rFonts w:ascii="Arial" w:hAnsi="Arial" w:cs="Arial"/>
          <w:sz w:val="22"/>
          <w:lang w:val="en-US"/>
        </w:rPr>
        <w:t xml:space="preserve">BH </w:t>
      </w:r>
      <w:r w:rsidRPr="00216C30">
        <w:rPr>
          <w:rFonts w:ascii="Arial" w:hAnsi="Arial" w:cs="Arial"/>
          <w:sz w:val="22"/>
          <w:lang w:val="en-US"/>
        </w:rPr>
        <w:t>regulatory submission</w:t>
      </w:r>
    </w:p>
    <w:p w14:paraId="76A5F2B5" w14:textId="77777777" w:rsidR="00C71A47" w:rsidRPr="00216C30" w:rsidRDefault="00C71A47" w:rsidP="00631FE2">
      <w:pPr>
        <w:rPr>
          <w:rFonts w:ascii="Arial" w:hAnsi="Arial" w:cs="Arial"/>
          <w:sz w:val="22"/>
          <w:lang w:val="en-US"/>
        </w:rPr>
      </w:pPr>
    </w:p>
    <w:p w14:paraId="575D0DB4" w14:textId="77777777" w:rsidR="00CF08D7" w:rsidRDefault="00CF08D7" w:rsidP="00631FE2">
      <w:pPr>
        <w:rPr>
          <w:rFonts w:ascii="Calibri" w:hAnsi="Calibri"/>
          <w:sz w:val="22"/>
          <w:lang w:val="en-US"/>
        </w:rPr>
      </w:pPr>
    </w:p>
    <w:p w14:paraId="27E38749" w14:textId="77777777" w:rsidR="000A5113" w:rsidRPr="00C71A47" w:rsidRDefault="000A5113" w:rsidP="00631FE2">
      <w:pPr>
        <w:rPr>
          <w:rFonts w:ascii="Calibri" w:hAnsi="Calibri"/>
          <w:sz w:val="22"/>
          <w:lang w:val="en-US"/>
        </w:rPr>
      </w:pPr>
    </w:p>
    <w:p w14:paraId="5EC9CDA4" w14:textId="77777777" w:rsidR="000E39A9" w:rsidRPr="00216C30" w:rsidRDefault="005A134C" w:rsidP="00F0411C">
      <w:pPr>
        <w:pStyle w:val="Heading2"/>
        <w:ind w:left="0"/>
        <w:jc w:val="left"/>
        <w:rPr>
          <w:rFonts w:ascii="Arial" w:hAnsi="Arial" w:cs="Arial"/>
          <w:i w:val="0"/>
        </w:rPr>
      </w:pPr>
      <w:bookmarkStart w:id="17" w:name="_Toc38875949"/>
      <w:r w:rsidRPr="00216C30">
        <w:rPr>
          <w:rFonts w:ascii="Arial" w:hAnsi="Arial" w:cs="Arial"/>
          <w:i w:val="0"/>
        </w:rPr>
        <w:lastRenderedPageBreak/>
        <w:t>ALLOWAN</w:t>
      </w:r>
      <w:r w:rsidR="000E39A9" w:rsidRPr="00216C30">
        <w:rPr>
          <w:rFonts w:ascii="Arial" w:hAnsi="Arial" w:cs="Arial"/>
          <w:i w:val="0"/>
        </w:rPr>
        <w:t>CE FOR CREDIT LOSSES</w:t>
      </w:r>
      <w:bookmarkEnd w:id="17"/>
    </w:p>
    <w:p w14:paraId="7EE2E969" w14:textId="77777777" w:rsidR="000E39A9" w:rsidRPr="00216C30" w:rsidRDefault="000E39A9" w:rsidP="000E39A9">
      <w:pPr>
        <w:rPr>
          <w:rFonts w:ascii="Arial" w:hAnsi="Arial" w:cs="Arial"/>
          <w:b/>
          <w:lang w:val="en-US"/>
        </w:rPr>
      </w:pPr>
    </w:p>
    <w:p w14:paraId="6221635E" w14:textId="77777777" w:rsidR="00224F94" w:rsidRPr="00216C30" w:rsidRDefault="00224F94" w:rsidP="00224F94">
      <w:pPr>
        <w:rPr>
          <w:rFonts w:ascii="Arial" w:hAnsi="Arial" w:cs="Arial"/>
        </w:rPr>
      </w:pPr>
    </w:p>
    <w:p w14:paraId="35EE01AA" w14:textId="77777777" w:rsidR="00224F94" w:rsidRPr="00216C30" w:rsidRDefault="00CD5090" w:rsidP="009F5117">
      <w:pPr>
        <w:rPr>
          <w:rFonts w:ascii="Arial" w:hAnsi="Arial" w:cs="Arial"/>
        </w:rPr>
      </w:pPr>
      <w:r w:rsidRPr="00216C30">
        <w:rPr>
          <w:rFonts w:ascii="Arial" w:hAnsi="Arial" w:cs="Arial"/>
        </w:rPr>
        <w:t>The allowance for credit card losses is established using an Expected Credit Loss’ (“ECL”) model</w:t>
      </w:r>
      <w:r w:rsidR="009B06B3">
        <w:rPr>
          <w:rFonts w:ascii="Arial" w:hAnsi="Arial" w:cs="Arial"/>
        </w:rPr>
        <w:t xml:space="preserve"> in accordance with IFRS 9</w:t>
      </w:r>
      <w:r w:rsidRPr="00216C30">
        <w:rPr>
          <w:rFonts w:ascii="Arial" w:hAnsi="Arial" w:cs="Arial"/>
        </w:rPr>
        <w:t xml:space="preserve">. </w:t>
      </w:r>
      <w:r w:rsidR="00224F94" w:rsidRPr="00216C30">
        <w:rPr>
          <w:rFonts w:ascii="Arial" w:hAnsi="Arial" w:cs="Arial"/>
        </w:rPr>
        <w:t xml:space="preserve">Credit card loans are </w:t>
      </w:r>
      <w:r w:rsidRPr="00216C30">
        <w:rPr>
          <w:rFonts w:ascii="Arial" w:hAnsi="Arial" w:cs="Arial"/>
        </w:rPr>
        <w:t>individually assessed to determine the appropriate allowance</w:t>
      </w:r>
      <w:r w:rsidR="00DD7B40" w:rsidRPr="00216C30">
        <w:rPr>
          <w:rFonts w:ascii="Arial" w:hAnsi="Arial" w:cs="Arial"/>
        </w:rPr>
        <w:t xml:space="preserve">. </w:t>
      </w:r>
      <w:r w:rsidR="00224F94" w:rsidRPr="00216C30">
        <w:rPr>
          <w:rFonts w:ascii="Arial" w:hAnsi="Arial" w:cs="Arial"/>
        </w:rPr>
        <w:t xml:space="preserve">The allowance for credit losses is maintained at a level that management considers </w:t>
      </w:r>
      <w:r w:rsidR="009F5117" w:rsidRPr="00216C30">
        <w:rPr>
          <w:rFonts w:ascii="Arial" w:hAnsi="Arial" w:cs="Arial"/>
        </w:rPr>
        <w:t xml:space="preserve">appropriate to cover </w:t>
      </w:r>
      <w:r w:rsidR="00224F94" w:rsidRPr="00216C30">
        <w:rPr>
          <w:rFonts w:ascii="Arial" w:hAnsi="Arial" w:cs="Arial"/>
        </w:rPr>
        <w:t>estimated credit related losses in the portfolio</w:t>
      </w:r>
      <w:r w:rsidR="00995C49" w:rsidRPr="00216C30">
        <w:rPr>
          <w:rFonts w:ascii="Arial" w:hAnsi="Arial" w:cs="Arial"/>
        </w:rPr>
        <w:t xml:space="preserve">. </w:t>
      </w:r>
      <w:r w:rsidR="009F5117" w:rsidRPr="00216C30">
        <w:rPr>
          <w:rFonts w:ascii="Arial" w:hAnsi="Arial" w:cs="Arial"/>
        </w:rPr>
        <w:t>The ECL model requires considerable judgment, including the use of macroeconomic forecasts across multiple growth scenarios.</w:t>
      </w:r>
    </w:p>
    <w:p w14:paraId="06C29B8C" w14:textId="77777777" w:rsidR="00DD7B40" w:rsidRPr="00216C30" w:rsidRDefault="00DD7B40" w:rsidP="009F5117">
      <w:pPr>
        <w:rPr>
          <w:rFonts w:ascii="Arial" w:hAnsi="Arial" w:cs="Arial"/>
        </w:rPr>
      </w:pPr>
    </w:p>
    <w:p w14:paraId="72D5F397" w14:textId="77777777" w:rsidR="00DD7B40" w:rsidRPr="00216C30" w:rsidRDefault="00DD7B40" w:rsidP="009F5117">
      <w:pPr>
        <w:rPr>
          <w:rFonts w:ascii="Arial" w:hAnsi="Arial" w:cs="Arial"/>
        </w:rPr>
      </w:pPr>
      <w:r w:rsidRPr="00216C30">
        <w:rPr>
          <w:rFonts w:ascii="Arial" w:hAnsi="Arial" w:cs="Arial"/>
        </w:rPr>
        <w:t>Credit card loans are impaired when there is objective evidence of deterioration in the credit quality to the extent that there is no longer reasonable assurance of the timely collection of the full amount of principal and interest.  Credit card balances are written off after a payment is 180 days in arrears</w:t>
      </w:r>
      <w:r w:rsidR="009B06B3">
        <w:rPr>
          <w:rFonts w:ascii="Arial" w:hAnsi="Arial" w:cs="Arial"/>
        </w:rPr>
        <w:t>.</w:t>
      </w:r>
    </w:p>
    <w:p w14:paraId="14EEEEBB" w14:textId="77777777" w:rsidR="00224F94" w:rsidRPr="00216C30" w:rsidRDefault="00224F94" w:rsidP="00224F94">
      <w:pPr>
        <w:rPr>
          <w:rFonts w:ascii="Arial" w:hAnsi="Arial" w:cs="Arial"/>
        </w:rPr>
      </w:pPr>
    </w:p>
    <w:p w14:paraId="2D492D9D" w14:textId="77777777" w:rsidR="00224F94" w:rsidRPr="00216C30" w:rsidRDefault="00224F94" w:rsidP="00224F94">
      <w:pPr>
        <w:rPr>
          <w:rFonts w:ascii="Arial" w:hAnsi="Arial" w:cs="Arial"/>
          <w:lang w:val="en-US"/>
        </w:rPr>
      </w:pPr>
    </w:p>
    <w:p w14:paraId="6B67A3EB" w14:textId="77777777" w:rsidR="005C0068" w:rsidRPr="00216C30" w:rsidRDefault="0015331B" w:rsidP="00813F71">
      <w:pPr>
        <w:rPr>
          <w:rFonts w:ascii="Arial" w:hAnsi="Arial" w:cs="Arial"/>
          <w:lang w:val="en-US"/>
        </w:rPr>
      </w:pPr>
      <w:r w:rsidRPr="00216C30">
        <w:rPr>
          <w:rFonts w:ascii="Arial" w:hAnsi="Arial" w:cs="Arial"/>
          <w:lang w:val="en-US"/>
        </w:rPr>
        <w:t>The following are the changes in the allowance for credit card losses for the quarter:</w:t>
      </w:r>
    </w:p>
    <w:p w14:paraId="02085DF2" w14:textId="77777777" w:rsidR="00C50ED8" w:rsidRPr="00216C30" w:rsidRDefault="00C50ED8" w:rsidP="00224F94">
      <w:pPr>
        <w:rPr>
          <w:rFonts w:ascii="Arial" w:hAnsi="Arial" w:cs="Arial"/>
          <w:lang w:val="en-US"/>
        </w:rPr>
      </w:pPr>
    </w:p>
    <w:p w14:paraId="1608ABDD" w14:textId="77777777" w:rsidR="00C50ED8" w:rsidRPr="00216C30" w:rsidRDefault="00C50ED8" w:rsidP="00224F94">
      <w:pPr>
        <w:rPr>
          <w:rFonts w:ascii="Arial" w:hAnsi="Arial" w:cs="Arial"/>
          <w:lang w:val="en-US"/>
        </w:rPr>
      </w:pPr>
    </w:p>
    <w:tbl>
      <w:tblPr>
        <w:tblW w:w="9000" w:type="dxa"/>
        <w:tblInd w:w="108" w:type="dxa"/>
        <w:tblLook w:val="04A0" w:firstRow="1" w:lastRow="0" w:firstColumn="1" w:lastColumn="0" w:noHBand="0" w:noVBand="1"/>
      </w:tblPr>
      <w:tblGrid>
        <w:gridCol w:w="5364"/>
        <w:gridCol w:w="222"/>
        <w:gridCol w:w="1556"/>
        <w:gridCol w:w="1858"/>
      </w:tblGrid>
      <w:tr w:rsidR="009070B6" w:rsidRPr="00864AD4" w14:paraId="67AC15AA" w14:textId="77777777" w:rsidTr="00F231A4">
        <w:trPr>
          <w:trHeight w:val="300"/>
        </w:trPr>
        <w:tc>
          <w:tcPr>
            <w:tcW w:w="5586" w:type="dxa"/>
            <w:gridSpan w:val="2"/>
            <w:tcBorders>
              <w:top w:val="nil"/>
              <w:left w:val="nil"/>
              <w:bottom w:val="nil"/>
              <w:right w:val="nil"/>
            </w:tcBorders>
            <w:shd w:val="clear" w:color="auto" w:fill="auto"/>
            <w:noWrap/>
            <w:vAlign w:val="bottom"/>
            <w:hideMark/>
          </w:tcPr>
          <w:p w14:paraId="65B5F170" w14:textId="77777777" w:rsidR="009070B6" w:rsidRPr="00216C30" w:rsidRDefault="009070B6" w:rsidP="00C50ED8">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 xml:space="preserve">Allowance for Credit Card Losses, beginning of </w:t>
            </w:r>
            <w:r w:rsidR="00CF08D7" w:rsidRPr="00216C30">
              <w:rPr>
                <w:rFonts w:ascii="Arial" w:hAnsi="Arial" w:cs="Arial"/>
                <w:color w:val="000000"/>
                <w:sz w:val="22"/>
                <w:szCs w:val="22"/>
                <w:lang w:val="en-US" w:eastAsia="en-US"/>
              </w:rPr>
              <w:t>quarter</w:t>
            </w:r>
          </w:p>
        </w:tc>
        <w:tc>
          <w:tcPr>
            <w:tcW w:w="1556" w:type="dxa"/>
            <w:tcBorders>
              <w:top w:val="nil"/>
              <w:left w:val="nil"/>
              <w:bottom w:val="nil"/>
              <w:right w:val="nil"/>
            </w:tcBorders>
            <w:shd w:val="clear" w:color="auto" w:fill="auto"/>
            <w:noWrap/>
            <w:vAlign w:val="bottom"/>
            <w:hideMark/>
          </w:tcPr>
          <w:p w14:paraId="0FFC305B" w14:textId="77777777" w:rsidR="009070B6" w:rsidRPr="00216C30" w:rsidRDefault="009070B6" w:rsidP="00C50ED8">
            <w:pPr>
              <w:jc w:val="left"/>
              <w:rPr>
                <w:rFonts w:ascii="Arial" w:hAnsi="Arial" w:cs="Arial"/>
                <w:color w:val="000000"/>
                <w:sz w:val="22"/>
                <w:szCs w:val="22"/>
                <w:lang w:val="en-US" w:eastAsia="en-US"/>
              </w:rPr>
            </w:pPr>
          </w:p>
        </w:tc>
        <w:tc>
          <w:tcPr>
            <w:tcW w:w="1736" w:type="dxa"/>
            <w:tcBorders>
              <w:top w:val="nil"/>
              <w:left w:val="nil"/>
              <w:bottom w:val="nil"/>
              <w:right w:val="nil"/>
            </w:tcBorders>
            <w:shd w:val="clear" w:color="auto" w:fill="auto"/>
            <w:noWrap/>
            <w:vAlign w:val="bottom"/>
            <w:hideMark/>
          </w:tcPr>
          <w:p w14:paraId="58D7BE4B" w14:textId="4FC0F1D0" w:rsidR="009070B6" w:rsidRPr="00216C30" w:rsidRDefault="009070B6" w:rsidP="000A5113">
            <w:pPr>
              <w:jc w:val="right"/>
              <w:rPr>
                <w:rFonts w:ascii="Arial" w:hAnsi="Arial" w:cs="Arial"/>
                <w:color w:val="000000"/>
                <w:sz w:val="22"/>
                <w:szCs w:val="22"/>
              </w:rPr>
            </w:pPr>
            <w:r w:rsidRPr="00216C30">
              <w:rPr>
                <w:rFonts w:ascii="Arial" w:hAnsi="Arial" w:cs="Arial"/>
                <w:color w:val="000000"/>
                <w:sz w:val="22"/>
                <w:szCs w:val="22"/>
              </w:rPr>
              <w:t>$</w:t>
            </w:r>
            <w:r w:rsidR="007D75EB" w:rsidRPr="00216C30">
              <w:rPr>
                <w:rFonts w:ascii="Arial" w:hAnsi="Arial" w:cs="Arial"/>
                <w:bCs/>
                <w:color w:val="000000"/>
                <w:sz w:val="22"/>
                <w:szCs w:val="22"/>
              </w:rPr>
              <w:t>1</w:t>
            </w:r>
            <w:r w:rsidR="00077591">
              <w:rPr>
                <w:rFonts w:ascii="Arial" w:hAnsi="Arial" w:cs="Arial"/>
                <w:bCs/>
                <w:color w:val="000000"/>
                <w:sz w:val="22"/>
                <w:szCs w:val="22"/>
              </w:rPr>
              <w:t>64,897</w:t>
            </w:r>
          </w:p>
        </w:tc>
      </w:tr>
      <w:tr w:rsidR="009070B6" w:rsidRPr="00864AD4" w14:paraId="18772AA3" w14:textId="77777777" w:rsidTr="00F231A4">
        <w:trPr>
          <w:trHeight w:val="300"/>
        </w:trPr>
        <w:tc>
          <w:tcPr>
            <w:tcW w:w="5364" w:type="dxa"/>
            <w:tcBorders>
              <w:top w:val="nil"/>
              <w:left w:val="nil"/>
              <w:bottom w:val="nil"/>
              <w:right w:val="nil"/>
            </w:tcBorders>
            <w:shd w:val="clear" w:color="auto" w:fill="auto"/>
            <w:noWrap/>
            <w:vAlign w:val="bottom"/>
            <w:hideMark/>
          </w:tcPr>
          <w:p w14:paraId="4FC81377" w14:textId="77777777" w:rsidR="009070B6" w:rsidRPr="00216C30" w:rsidRDefault="009070B6" w:rsidP="00C50ED8">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Provision for credit card losses</w:t>
            </w:r>
          </w:p>
        </w:tc>
        <w:tc>
          <w:tcPr>
            <w:tcW w:w="222" w:type="dxa"/>
            <w:tcBorders>
              <w:top w:val="nil"/>
              <w:left w:val="nil"/>
              <w:bottom w:val="nil"/>
              <w:right w:val="nil"/>
            </w:tcBorders>
            <w:shd w:val="clear" w:color="auto" w:fill="auto"/>
            <w:noWrap/>
            <w:vAlign w:val="bottom"/>
            <w:hideMark/>
          </w:tcPr>
          <w:p w14:paraId="499FADF9" w14:textId="77777777" w:rsidR="009070B6" w:rsidRPr="00216C30" w:rsidRDefault="009070B6" w:rsidP="00C50ED8">
            <w:pPr>
              <w:jc w:val="left"/>
              <w:rPr>
                <w:rFonts w:ascii="Arial" w:hAnsi="Arial" w:cs="Arial"/>
                <w:color w:val="000000"/>
                <w:sz w:val="22"/>
                <w:szCs w:val="22"/>
                <w:lang w:val="en-US" w:eastAsia="en-US"/>
              </w:rPr>
            </w:pPr>
          </w:p>
        </w:tc>
        <w:tc>
          <w:tcPr>
            <w:tcW w:w="1556" w:type="dxa"/>
            <w:tcBorders>
              <w:top w:val="nil"/>
              <w:left w:val="nil"/>
              <w:bottom w:val="nil"/>
              <w:right w:val="nil"/>
            </w:tcBorders>
            <w:shd w:val="clear" w:color="auto" w:fill="auto"/>
            <w:noWrap/>
            <w:vAlign w:val="bottom"/>
          </w:tcPr>
          <w:p w14:paraId="0DE1F8F6" w14:textId="77777777" w:rsidR="009070B6" w:rsidRPr="00216C30" w:rsidRDefault="009070B6">
            <w:pPr>
              <w:jc w:val="right"/>
              <w:rPr>
                <w:rFonts w:ascii="Arial" w:hAnsi="Arial" w:cs="Arial"/>
                <w:color w:val="000000"/>
                <w:sz w:val="22"/>
                <w:szCs w:val="22"/>
              </w:rPr>
            </w:pPr>
          </w:p>
        </w:tc>
        <w:tc>
          <w:tcPr>
            <w:tcW w:w="1736" w:type="dxa"/>
            <w:tcBorders>
              <w:top w:val="nil"/>
              <w:left w:val="nil"/>
              <w:bottom w:val="nil"/>
              <w:right w:val="nil"/>
            </w:tcBorders>
            <w:shd w:val="clear" w:color="auto" w:fill="auto"/>
            <w:noWrap/>
            <w:vAlign w:val="bottom"/>
            <w:hideMark/>
          </w:tcPr>
          <w:p w14:paraId="31189E21" w14:textId="73CC0955" w:rsidR="009070B6" w:rsidRPr="00216C30" w:rsidRDefault="009070B6" w:rsidP="007D75EB">
            <w:pPr>
              <w:jc w:val="right"/>
              <w:rPr>
                <w:rFonts w:ascii="Arial" w:hAnsi="Arial" w:cs="Arial"/>
                <w:color w:val="000000"/>
                <w:sz w:val="22"/>
                <w:szCs w:val="22"/>
              </w:rPr>
            </w:pPr>
            <w:r w:rsidRPr="00216C30">
              <w:rPr>
                <w:rFonts w:ascii="Arial" w:hAnsi="Arial" w:cs="Arial"/>
                <w:color w:val="000000"/>
                <w:sz w:val="22"/>
                <w:szCs w:val="22"/>
              </w:rPr>
              <w:t>$</w:t>
            </w:r>
            <w:r w:rsidR="00077591">
              <w:rPr>
                <w:rFonts w:ascii="Arial" w:hAnsi="Arial" w:cs="Arial"/>
                <w:color w:val="000000"/>
                <w:sz w:val="22"/>
                <w:szCs w:val="22"/>
              </w:rPr>
              <w:t>33,848</w:t>
            </w:r>
            <w:r w:rsidRPr="00216C30">
              <w:rPr>
                <w:rFonts w:ascii="Arial" w:hAnsi="Arial" w:cs="Arial"/>
                <w:color w:val="000000"/>
                <w:sz w:val="22"/>
                <w:szCs w:val="22"/>
              </w:rPr>
              <w:t xml:space="preserve"> </w:t>
            </w:r>
          </w:p>
        </w:tc>
      </w:tr>
      <w:tr w:rsidR="007D75EB" w:rsidRPr="00864AD4" w14:paraId="180BC642" w14:textId="77777777" w:rsidTr="00F231A4">
        <w:trPr>
          <w:trHeight w:val="300"/>
        </w:trPr>
        <w:tc>
          <w:tcPr>
            <w:tcW w:w="5364" w:type="dxa"/>
            <w:tcBorders>
              <w:top w:val="nil"/>
              <w:left w:val="nil"/>
              <w:bottom w:val="nil"/>
              <w:right w:val="nil"/>
            </w:tcBorders>
            <w:shd w:val="clear" w:color="auto" w:fill="auto"/>
            <w:noWrap/>
            <w:vAlign w:val="bottom"/>
            <w:hideMark/>
          </w:tcPr>
          <w:p w14:paraId="2EAB701B" w14:textId="77777777" w:rsidR="007D75EB" w:rsidRPr="00216C30" w:rsidRDefault="007D75EB" w:rsidP="00C50ED8">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Recoveries</w:t>
            </w:r>
          </w:p>
        </w:tc>
        <w:tc>
          <w:tcPr>
            <w:tcW w:w="222" w:type="dxa"/>
            <w:tcBorders>
              <w:top w:val="nil"/>
              <w:left w:val="nil"/>
              <w:bottom w:val="nil"/>
              <w:right w:val="nil"/>
            </w:tcBorders>
            <w:shd w:val="clear" w:color="auto" w:fill="auto"/>
            <w:noWrap/>
            <w:vAlign w:val="bottom"/>
            <w:hideMark/>
          </w:tcPr>
          <w:p w14:paraId="01F87AD4" w14:textId="77777777" w:rsidR="007D75EB" w:rsidRPr="00216C30" w:rsidRDefault="007D75EB" w:rsidP="00C50ED8">
            <w:pPr>
              <w:jc w:val="left"/>
              <w:rPr>
                <w:rFonts w:ascii="Arial" w:hAnsi="Arial" w:cs="Arial"/>
                <w:color w:val="000000"/>
                <w:sz w:val="22"/>
                <w:szCs w:val="22"/>
                <w:lang w:val="en-US" w:eastAsia="en-US"/>
              </w:rPr>
            </w:pPr>
          </w:p>
        </w:tc>
        <w:tc>
          <w:tcPr>
            <w:tcW w:w="1556" w:type="dxa"/>
            <w:tcBorders>
              <w:top w:val="nil"/>
              <w:left w:val="nil"/>
              <w:bottom w:val="nil"/>
              <w:right w:val="nil"/>
            </w:tcBorders>
            <w:shd w:val="clear" w:color="auto" w:fill="auto"/>
            <w:noWrap/>
            <w:vAlign w:val="bottom"/>
          </w:tcPr>
          <w:p w14:paraId="348CC147" w14:textId="77777777" w:rsidR="007D75EB" w:rsidRPr="00216C30" w:rsidRDefault="007D75EB">
            <w:pPr>
              <w:jc w:val="right"/>
              <w:rPr>
                <w:rFonts w:ascii="Arial" w:hAnsi="Arial" w:cs="Arial"/>
                <w:color w:val="000000"/>
                <w:sz w:val="22"/>
                <w:szCs w:val="22"/>
              </w:rPr>
            </w:pPr>
          </w:p>
        </w:tc>
        <w:tc>
          <w:tcPr>
            <w:tcW w:w="1736" w:type="dxa"/>
            <w:tcBorders>
              <w:top w:val="nil"/>
              <w:left w:val="nil"/>
              <w:bottom w:val="nil"/>
              <w:right w:val="nil"/>
            </w:tcBorders>
            <w:shd w:val="clear" w:color="auto" w:fill="auto"/>
            <w:noWrap/>
            <w:vAlign w:val="bottom"/>
            <w:hideMark/>
          </w:tcPr>
          <w:p w14:paraId="16DF855C" w14:textId="73466D4B" w:rsidR="007D75EB" w:rsidRPr="00216C30" w:rsidRDefault="007D75EB">
            <w:pPr>
              <w:jc w:val="right"/>
              <w:rPr>
                <w:rFonts w:ascii="Arial" w:hAnsi="Arial" w:cs="Arial"/>
                <w:color w:val="000000"/>
                <w:sz w:val="22"/>
                <w:szCs w:val="22"/>
              </w:rPr>
            </w:pPr>
            <w:r w:rsidRPr="00216C30">
              <w:rPr>
                <w:rFonts w:ascii="Arial" w:hAnsi="Arial" w:cs="Arial"/>
                <w:color w:val="000000"/>
                <w:sz w:val="22"/>
                <w:szCs w:val="22"/>
              </w:rPr>
              <w:t>$4,</w:t>
            </w:r>
            <w:r w:rsidR="00077591">
              <w:rPr>
                <w:rFonts w:ascii="Arial" w:hAnsi="Arial" w:cs="Arial"/>
                <w:color w:val="000000"/>
                <w:sz w:val="22"/>
                <w:szCs w:val="22"/>
              </w:rPr>
              <w:t>366</w:t>
            </w:r>
            <w:r w:rsidRPr="00216C30">
              <w:rPr>
                <w:rFonts w:ascii="Arial" w:hAnsi="Arial" w:cs="Arial"/>
                <w:color w:val="000000"/>
                <w:sz w:val="22"/>
                <w:szCs w:val="22"/>
              </w:rPr>
              <w:t xml:space="preserve"> </w:t>
            </w:r>
          </w:p>
        </w:tc>
      </w:tr>
      <w:tr w:rsidR="007D75EB" w:rsidRPr="00864AD4" w14:paraId="4B13D27A" w14:textId="77777777" w:rsidTr="00F231A4">
        <w:trPr>
          <w:trHeight w:val="315"/>
        </w:trPr>
        <w:tc>
          <w:tcPr>
            <w:tcW w:w="5364" w:type="dxa"/>
            <w:tcBorders>
              <w:top w:val="nil"/>
              <w:left w:val="nil"/>
              <w:bottom w:val="nil"/>
              <w:right w:val="nil"/>
            </w:tcBorders>
            <w:shd w:val="clear" w:color="auto" w:fill="auto"/>
            <w:noWrap/>
            <w:vAlign w:val="bottom"/>
            <w:hideMark/>
          </w:tcPr>
          <w:p w14:paraId="16C18F6C" w14:textId="77777777" w:rsidR="007D75EB" w:rsidRPr="00216C30" w:rsidRDefault="007D75EB" w:rsidP="00C50ED8">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Write</w:t>
            </w:r>
            <w:r w:rsidRPr="00216C30">
              <w:rPr>
                <w:rFonts w:ascii="Cambria Math" w:hAnsi="Cambria Math" w:cs="Cambria Math"/>
                <w:color w:val="000000"/>
                <w:sz w:val="22"/>
                <w:szCs w:val="22"/>
                <w:lang w:val="en-US" w:eastAsia="en-US"/>
              </w:rPr>
              <w:t>‐</w:t>
            </w:r>
            <w:r w:rsidRPr="00216C30">
              <w:rPr>
                <w:rFonts w:ascii="Arial" w:hAnsi="Arial" w:cs="Arial"/>
                <w:color w:val="000000"/>
                <w:sz w:val="22"/>
                <w:szCs w:val="22"/>
                <w:lang w:val="en-US" w:eastAsia="en-US"/>
              </w:rPr>
              <w:t>offs</w:t>
            </w:r>
          </w:p>
        </w:tc>
        <w:tc>
          <w:tcPr>
            <w:tcW w:w="222" w:type="dxa"/>
            <w:tcBorders>
              <w:top w:val="nil"/>
              <w:left w:val="nil"/>
              <w:bottom w:val="nil"/>
              <w:right w:val="nil"/>
            </w:tcBorders>
            <w:shd w:val="clear" w:color="auto" w:fill="auto"/>
            <w:noWrap/>
            <w:vAlign w:val="bottom"/>
            <w:hideMark/>
          </w:tcPr>
          <w:p w14:paraId="1AA7D39D" w14:textId="77777777" w:rsidR="007D75EB" w:rsidRPr="00216C30" w:rsidRDefault="007D75EB" w:rsidP="00C50ED8">
            <w:pPr>
              <w:jc w:val="left"/>
              <w:rPr>
                <w:rFonts w:ascii="Arial" w:hAnsi="Arial" w:cs="Arial"/>
                <w:color w:val="000000"/>
                <w:sz w:val="22"/>
                <w:szCs w:val="22"/>
                <w:lang w:val="en-US" w:eastAsia="en-US"/>
              </w:rPr>
            </w:pPr>
          </w:p>
        </w:tc>
        <w:tc>
          <w:tcPr>
            <w:tcW w:w="1556" w:type="dxa"/>
            <w:tcBorders>
              <w:top w:val="nil"/>
              <w:left w:val="nil"/>
              <w:bottom w:val="nil"/>
              <w:right w:val="nil"/>
            </w:tcBorders>
            <w:shd w:val="clear" w:color="auto" w:fill="auto"/>
            <w:noWrap/>
            <w:vAlign w:val="bottom"/>
          </w:tcPr>
          <w:p w14:paraId="336DFC69" w14:textId="77777777" w:rsidR="007D75EB" w:rsidRPr="00216C30" w:rsidRDefault="007D75EB">
            <w:pPr>
              <w:jc w:val="right"/>
              <w:rPr>
                <w:rFonts w:ascii="Arial" w:hAnsi="Arial" w:cs="Arial"/>
                <w:color w:val="000000"/>
                <w:sz w:val="22"/>
                <w:szCs w:val="22"/>
              </w:rPr>
            </w:pPr>
          </w:p>
        </w:tc>
        <w:tc>
          <w:tcPr>
            <w:tcW w:w="1858" w:type="dxa"/>
            <w:tcBorders>
              <w:top w:val="nil"/>
              <w:left w:val="nil"/>
              <w:bottom w:val="nil"/>
              <w:right w:val="nil"/>
            </w:tcBorders>
            <w:shd w:val="clear" w:color="auto" w:fill="auto"/>
            <w:noWrap/>
            <w:vAlign w:val="bottom"/>
          </w:tcPr>
          <w:p w14:paraId="1D7921D6" w14:textId="55470B7C" w:rsidR="007D75EB" w:rsidRPr="00216C30" w:rsidRDefault="007D75EB">
            <w:pPr>
              <w:jc w:val="right"/>
              <w:rPr>
                <w:rFonts w:ascii="Arial" w:hAnsi="Arial" w:cs="Arial"/>
                <w:color w:val="000000"/>
                <w:sz w:val="22"/>
                <w:szCs w:val="22"/>
              </w:rPr>
            </w:pPr>
            <w:r w:rsidRPr="00216C30">
              <w:rPr>
                <w:rFonts w:ascii="Arial" w:hAnsi="Arial" w:cs="Arial"/>
                <w:color w:val="000000"/>
                <w:sz w:val="22"/>
                <w:szCs w:val="22"/>
              </w:rPr>
              <w:t>($</w:t>
            </w:r>
            <w:r w:rsidR="00BF69A2">
              <w:rPr>
                <w:rFonts w:ascii="Arial" w:hAnsi="Arial" w:cs="Arial"/>
                <w:color w:val="000000"/>
                <w:sz w:val="22"/>
                <w:szCs w:val="22"/>
              </w:rPr>
              <w:t>3</w:t>
            </w:r>
            <w:r w:rsidR="00077591">
              <w:rPr>
                <w:rFonts w:ascii="Arial" w:hAnsi="Arial" w:cs="Arial"/>
                <w:color w:val="000000"/>
                <w:sz w:val="22"/>
                <w:szCs w:val="22"/>
              </w:rPr>
              <w:t>2,084</w:t>
            </w:r>
            <w:r w:rsidRPr="00216C30">
              <w:rPr>
                <w:rFonts w:ascii="Arial" w:hAnsi="Arial" w:cs="Arial"/>
                <w:color w:val="000000"/>
                <w:sz w:val="22"/>
                <w:szCs w:val="22"/>
              </w:rPr>
              <w:t>)</w:t>
            </w:r>
          </w:p>
        </w:tc>
      </w:tr>
      <w:tr w:rsidR="009070B6" w:rsidRPr="00864AD4" w14:paraId="1FF0F57E" w14:textId="77777777" w:rsidTr="00F231A4">
        <w:trPr>
          <w:trHeight w:val="360"/>
        </w:trPr>
        <w:tc>
          <w:tcPr>
            <w:tcW w:w="5586" w:type="dxa"/>
            <w:gridSpan w:val="2"/>
            <w:tcBorders>
              <w:top w:val="single" w:sz="8" w:space="0" w:color="auto"/>
              <w:left w:val="nil"/>
              <w:bottom w:val="single" w:sz="8" w:space="0" w:color="auto"/>
              <w:right w:val="nil"/>
            </w:tcBorders>
            <w:shd w:val="clear" w:color="auto" w:fill="auto"/>
            <w:noWrap/>
            <w:vAlign w:val="bottom"/>
            <w:hideMark/>
          </w:tcPr>
          <w:p w14:paraId="527E73F3" w14:textId="77777777" w:rsidR="009070B6" w:rsidRPr="00216C30" w:rsidRDefault="009070B6" w:rsidP="00C50ED8">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Allowance for Credit Card Losses, end of quarter</w:t>
            </w:r>
            <w:r w:rsidR="00247BDD" w:rsidRPr="00216C30">
              <w:rPr>
                <w:rFonts w:ascii="Arial" w:hAnsi="Arial" w:cs="Arial"/>
                <w:color w:val="000000"/>
                <w:sz w:val="22"/>
                <w:szCs w:val="22"/>
                <w:vertAlign w:val="superscript"/>
                <w:lang w:val="en-US" w:eastAsia="en-US"/>
              </w:rPr>
              <w:t>1</w:t>
            </w:r>
          </w:p>
        </w:tc>
        <w:tc>
          <w:tcPr>
            <w:tcW w:w="1556" w:type="dxa"/>
            <w:tcBorders>
              <w:top w:val="single" w:sz="8" w:space="0" w:color="auto"/>
              <w:left w:val="nil"/>
              <w:bottom w:val="single" w:sz="8" w:space="0" w:color="auto"/>
              <w:right w:val="nil"/>
            </w:tcBorders>
            <w:shd w:val="clear" w:color="auto" w:fill="auto"/>
            <w:noWrap/>
            <w:vAlign w:val="bottom"/>
            <w:hideMark/>
          </w:tcPr>
          <w:p w14:paraId="5833251E" w14:textId="77777777" w:rsidR="009070B6" w:rsidRPr="00216C30" w:rsidRDefault="009070B6" w:rsidP="00C50ED8">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 </w:t>
            </w:r>
          </w:p>
        </w:tc>
        <w:tc>
          <w:tcPr>
            <w:tcW w:w="1736" w:type="dxa"/>
            <w:tcBorders>
              <w:top w:val="single" w:sz="8" w:space="0" w:color="auto"/>
              <w:left w:val="nil"/>
              <w:bottom w:val="single" w:sz="8" w:space="0" w:color="auto"/>
              <w:right w:val="nil"/>
            </w:tcBorders>
            <w:shd w:val="clear" w:color="auto" w:fill="auto"/>
            <w:noWrap/>
            <w:vAlign w:val="bottom"/>
            <w:hideMark/>
          </w:tcPr>
          <w:p w14:paraId="3D23C2B2" w14:textId="50C84542" w:rsidR="009070B6" w:rsidRPr="00216C30" w:rsidRDefault="009070B6" w:rsidP="007D75EB">
            <w:pPr>
              <w:jc w:val="right"/>
              <w:rPr>
                <w:rFonts w:ascii="Arial" w:hAnsi="Arial" w:cs="Arial"/>
                <w:b/>
                <w:bCs/>
                <w:color w:val="000000"/>
                <w:sz w:val="22"/>
                <w:szCs w:val="22"/>
              </w:rPr>
            </w:pPr>
            <w:r w:rsidRPr="00216C30">
              <w:rPr>
                <w:rFonts w:ascii="Arial" w:hAnsi="Arial" w:cs="Arial"/>
                <w:b/>
                <w:bCs/>
                <w:color w:val="000000"/>
                <w:sz w:val="22"/>
                <w:szCs w:val="22"/>
              </w:rPr>
              <w:t>$</w:t>
            </w:r>
            <w:r w:rsidR="00CF08D7" w:rsidRPr="00216C30">
              <w:rPr>
                <w:rFonts w:ascii="Arial" w:hAnsi="Arial" w:cs="Arial"/>
                <w:b/>
                <w:bCs/>
                <w:color w:val="000000"/>
                <w:sz w:val="22"/>
                <w:szCs w:val="22"/>
              </w:rPr>
              <w:t>1</w:t>
            </w:r>
            <w:r w:rsidR="00077591">
              <w:rPr>
                <w:rFonts w:ascii="Arial" w:hAnsi="Arial" w:cs="Arial"/>
                <w:b/>
                <w:bCs/>
                <w:color w:val="000000"/>
                <w:sz w:val="22"/>
                <w:szCs w:val="22"/>
              </w:rPr>
              <w:t>71,028</w:t>
            </w:r>
            <w:r w:rsidRPr="00216C30">
              <w:rPr>
                <w:rFonts w:ascii="Arial" w:hAnsi="Arial" w:cs="Arial"/>
                <w:b/>
                <w:bCs/>
                <w:color w:val="000000"/>
                <w:sz w:val="22"/>
                <w:szCs w:val="22"/>
              </w:rPr>
              <w:t xml:space="preserve"> </w:t>
            </w:r>
          </w:p>
        </w:tc>
      </w:tr>
    </w:tbl>
    <w:p w14:paraId="7A06998B" w14:textId="77777777" w:rsidR="00C50ED8" w:rsidRPr="00216C30" w:rsidRDefault="00C50ED8" w:rsidP="00224F94">
      <w:pPr>
        <w:rPr>
          <w:rFonts w:ascii="Arial" w:hAnsi="Arial" w:cs="Arial"/>
          <w:lang w:val="en-US"/>
        </w:rPr>
      </w:pPr>
    </w:p>
    <w:p w14:paraId="6A3D613B" w14:textId="77777777" w:rsidR="00CF08D7" w:rsidRPr="00216C30" w:rsidRDefault="0015331B" w:rsidP="00CF08D7">
      <w:pPr>
        <w:rPr>
          <w:rFonts w:ascii="Arial" w:hAnsi="Arial" w:cs="Arial"/>
          <w:sz w:val="22"/>
          <w:lang w:val="en-US"/>
        </w:rPr>
      </w:pPr>
      <w:r w:rsidRPr="00216C30">
        <w:rPr>
          <w:rFonts w:ascii="Arial" w:hAnsi="Arial" w:cs="Arial"/>
          <w:sz w:val="22"/>
          <w:lang w:val="en-US"/>
        </w:rPr>
        <w:t xml:space="preserve">Note 1: </w:t>
      </w:r>
      <w:r w:rsidR="00CF08D7" w:rsidRPr="00216C30">
        <w:rPr>
          <w:rFonts w:ascii="Arial" w:hAnsi="Arial" w:cs="Arial"/>
          <w:sz w:val="22"/>
          <w:lang w:val="en-US"/>
        </w:rPr>
        <w:t>As reported on the C3 regulatory submission</w:t>
      </w:r>
    </w:p>
    <w:p w14:paraId="4FC7F876" w14:textId="77777777" w:rsidR="00CF08D7" w:rsidRPr="00216C30" w:rsidRDefault="00CF08D7" w:rsidP="00224F94">
      <w:pPr>
        <w:rPr>
          <w:rFonts w:ascii="Arial" w:hAnsi="Arial" w:cs="Arial"/>
          <w:sz w:val="22"/>
          <w:lang w:val="en-US"/>
        </w:rPr>
      </w:pPr>
    </w:p>
    <w:p w14:paraId="4593B383" w14:textId="77777777" w:rsidR="00DC2083" w:rsidRDefault="00DC2083" w:rsidP="00224F94">
      <w:pPr>
        <w:rPr>
          <w:lang w:val="en-US"/>
        </w:rPr>
      </w:pPr>
    </w:p>
    <w:p w14:paraId="4E5A90F7" w14:textId="77777777" w:rsidR="00DC2083" w:rsidRDefault="00DC2083" w:rsidP="00224F94">
      <w:pPr>
        <w:rPr>
          <w:lang w:val="en-US"/>
        </w:rPr>
      </w:pPr>
    </w:p>
    <w:p w14:paraId="03782E8C" w14:textId="77777777" w:rsidR="00DC2083" w:rsidRDefault="00DC2083" w:rsidP="00224F94">
      <w:pPr>
        <w:rPr>
          <w:lang w:val="en-US"/>
        </w:rPr>
      </w:pPr>
    </w:p>
    <w:p w14:paraId="349E6A08" w14:textId="77777777" w:rsidR="00DC2083" w:rsidRDefault="00DC2083" w:rsidP="00224F94">
      <w:pPr>
        <w:rPr>
          <w:lang w:val="en-US"/>
        </w:rPr>
      </w:pPr>
    </w:p>
    <w:p w14:paraId="3C567F16" w14:textId="77777777" w:rsidR="00DC2083" w:rsidRDefault="00DC2083" w:rsidP="00224F94">
      <w:pPr>
        <w:rPr>
          <w:lang w:val="en-US"/>
        </w:rPr>
      </w:pPr>
    </w:p>
    <w:p w14:paraId="5D564216" w14:textId="77777777" w:rsidR="00DC2083" w:rsidRDefault="00DC2083" w:rsidP="00224F94">
      <w:pPr>
        <w:rPr>
          <w:lang w:val="en-US"/>
        </w:rPr>
      </w:pPr>
    </w:p>
    <w:p w14:paraId="513230B0" w14:textId="77777777" w:rsidR="00DC2083" w:rsidRDefault="00DC2083" w:rsidP="00224F94">
      <w:pPr>
        <w:rPr>
          <w:lang w:val="en-US"/>
        </w:rPr>
      </w:pPr>
    </w:p>
    <w:p w14:paraId="0D82C2F5" w14:textId="77777777" w:rsidR="00AE66C5" w:rsidRDefault="00AE66C5" w:rsidP="00224F94">
      <w:pPr>
        <w:rPr>
          <w:lang w:val="en-US"/>
        </w:rPr>
      </w:pPr>
    </w:p>
    <w:p w14:paraId="6C7DDD82" w14:textId="77777777" w:rsidR="00AE66C5" w:rsidRDefault="00AE66C5" w:rsidP="00224F94">
      <w:pPr>
        <w:rPr>
          <w:lang w:val="en-US"/>
        </w:rPr>
      </w:pPr>
    </w:p>
    <w:p w14:paraId="33A7C062" w14:textId="77777777" w:rsidR="00AE66C5" w:rsidRDefault="00AE66C5" w:rsidP="00224F94">
      <w:pPr>
        <w:rPr>
          <w:lang w:val="en-US"/>
        </w:rPr>
      </w:pPr>
    </w:p>
    <w:p w14:paraId="458C48B1" w14:textId="77777777" w:rsidR="000736FF" w:rsidRDefault="000736FF" w:rsidP="00224F94">
      <w:pPr>
        <w:rPr>
          <w:lang w:val="en-US"/>
        </w:rPr>
      </w:pPr>
    </w:p>
    <w:p w14:paraId="31CD8704" w14:textId="77777777" w:rsidR="000736FF" w:rsidRDefault="000736FF" w:rsidP="00224F94">
      <w:pPr>
        <w:rPr>
          <w:lang w:val="en-US"/>
        </w:rPr>
      </w:pPr>
    </w:p>
    <w:p w14:paraId="34C180B1" w14:textId="77777777" w:rsidR="007E1AB7" w:rsidRDefault="007E1AB7" w:rsidP="00224F94">
      <w:pPr>
        <w:rPr>
          <w:lang w:val="en-US"/>
        </w:rPr>
      </w:pPr>
    </w:p>
    <w:p w14:paraId="7E72D0C7" w14:textId="77777777" w:rsidR="00DC2083" w:rsidRDefault="00DC2083" w:rsidP="00224F94">
      <w:pPr>
        <w:rPr>
          <w:lang w:val="en-US"/>
        </w:rPr>
      </w:pPr>
    </w:p>
    <w:p w14:paraId="15C05144" w14:textId="77777777" w:rsidR="00DC2083" w:rsidRDefault="00DC2083" w:rsidP="00224F94">
      <w:pPr>
        <w:rPr>
          <w:lang w:val="en-US"/>
        </w:rPr>
      </w:pPr>
    </w:p>
    <w:p w14:paraId="0DFA51A2" w14:textId="77777777" w:rsidR="00B25ABB" w:rsidRPr="00216C30" w:rsidRDefault="00DC2083" w:rsidP="00F0411C">
      <w:pPr>
        <w:pStyle w:val="Heading2"/>
        <w:ind w:left="0"/>
        <w:jc w:val="left"/>
        <w:rPr>
          <w:rFonts w:ascii="Arial" w:hAnsi="Arial" w:cs="Arial"/>
          <w:b w:val="0"/>
          <w:lang w:val="en-US"/>
        </w:rPr>
      </w:pPr>
      <w:bookmarkStart w:id="18" w:name="_Toc38875950"/>
      <w:r w:rsidRPr="00216C30">
        <w:rPr>
          <w:rFonts w:ascii="Arial" w:hAnsi="Arial" w:cs="Arial"/>
          <w:i w:val="0"/>
        </w:rPr>
        <w:lastRenderedPageBreak/>
        <w:t>DISCLOSURES FOR PORTFOLIOS SUBJECT TO THE STANDARDIZED APPROACH</w:t>
      </w:r>
      <w:bookmarkEnd w:id="18"/>
    </w:p>
    <w:p w14:paraId="571A629B" w14:textId="77777777" w:rsidR="00B25ABB" w:rsidRPr="00216C30" w:rsidRDefault="009B06B3" w:rsidP="00DC2083">
      <w:pPr>
        <w:rPr>
          <w:rFonts w:ascii="Arial" w:hAnsi="Arial" w:cs="Arial"/>
          <w:lang w:val="en-US"/>
        </w:rPr>
      </w:pPr>
      <w:r>
        <w:rPr>
          <w:rFonts w:ascii="Arial" w:hAnsi="Arial" w:cs="Arial"/>
          <w:lang w:val="en-US"/>
        </w:rPr>
        <w:t>The Bank</w:t>
      </w:r>
      <w:r w:rsidR="00C835D1" w:rsidRPr="00216C30">
        <w:rPr>
          <w:rFonts w:ascii="Arial" w:hAnsi="Arial" w:cs="Arial"/>
          <w:lang w:val="en-US"/>
        </w:rPr>
        <w:t xml:space="preserve"> </w:t>
      </w:r>
      <w:r w:rsidR="00B25ABB" w:rsidRPr="00216C30">
        <w:rPr>
          <w:rFonts w:ascii="Arial" w:hAnsi="Arial" w:cs="Arial"/>
          <w:lang w:val="en-US"/>
        </w:rPr>
        <w:t xml:space="preserve">invests in government issued securities, cash deposits and </w:t>
      </w:r>
      <w:r w:rsidR="004413B6" w:rsidRPr="00216C30">
        <w:rPr>
          <w:rFonts w:ascii="Arial" w:hAnsi="Arial" w:cs="Arial"/>
          <w:lang w:val="en-US"/>
        </w:rPr>
        <w:t>short-term</w:t>
      </w:r>
      <w:r w:rsidR="00B25ABB" w:rsidRPr="00216C30">
        <w:rPr>
          <w:rFonts w:ascii="Arial" w:hAnsi="Arial" w:cs="Arial"/>
          <w:lang w:val="en-US"/>
        </w:rPr>
        <w:t xml:space="preserve"> investments with regulated financial institutions</w:t>
      </w:r>
      <w:r w:rsidR="00B81E26" w:rsidRPr="00216C30">
        <w:rPr>
          <w:rFonts w:ascii="Arial" w:hAnsi="Arial" w:cs="Arial"/>
          <w:lang w:val="en-US"/>
        </w:rPr>
        <w:t>.</w:t>
      </w:r>
    </w:p>
    <w:p w14:paraId="2A45BB56" w14:textId="77777777" w:rsidR="00813F71" w:rsidRPr="00216C30" w:rsidRDefault="00813F71" w:rsidP="00DC2083">
      <w:pPr>
        <w:rPr>
          <w:rFonts w:ascii="Arial" w:hAnsi="Arial" w:cs="Arial"/>
          <w:lang w:val="en-US"/>
        </w:rPr>
      </w:pPr>
    </w:p>
    <w:tbl>
      <w:tblPr>
        <w:tblW w:w="7578" w:type="dxa"/>
        <w:tblInd w:w="89" w:type="dxa"/>
        <w:tblLook w:val="04A0" w:firstRow="1" w:lastRow="0" w:firstColumn="1" w:lastColumn="0" w:noHBand="0" w:noVBand="1"/>
      </w:tblPr>
      <w:tblGrid>
        <w:gridCol w:w="2827"/>
        <w:gridCol w:w="1604"/>
        <w:gridCol w:w="1423"/>
        <w:gridCol w:w="1724"/>
      </w:tblGrid>
      <w:tr w:rsidR="00813F71" w:rsidRPr="00864AD4" w14:paraId="75E415B7" w14:textId="77777777" w:rsidTr="00813F71">
        <w:trPr>
          <w:trHeight w:val="347"/>
        </w:trPr>
        <w:tc>
          <w:tcPr>
            <w:tcW w:w="2827" w:type="dxa"/>
            <w:tcBorders>
              <w:top w:val="single" w:sz="4" w:space="0" w:color="auto"/>
              <w:left w:val="single" w:sz="4" w:space="0" w:color="auto"/>
              <w:bottom w:val="nil"/>
              <w:right w:val="nil"/>
            </w:tcBorders>
            <w:shd w:val="clear" w:color="auto" w:fill="auto"/>
            <w:noWrap/>
            <w:vAlign w:val="bottom"/>
            <w:hideMark/>
          </w:tcPr>
          <w:p w14:paraId="5030A2B7" w14:textId="77777777" w:rsidR="00813F71" w:rsidRPr="00216C30" w:rsidRDefault="00813F71" w:rsidP="00813F71">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 </w:t>
            </w:r>
          </w:p>
        </w:tc>
        <w:tc>
          <w:tcPr>
            <w:tcW w:w="1604" w:type="dxa"/>
            <w:tcBorders>
              <w:top w:val="single" w:sz="4" w:space="0" w:color="auto"/>
              <w:left w:val="nil"/>
              <w:bottom w:val="nil"/>
              <w:right w:val="nil"/>
            </w:tcBorders>
            <w:shd w:val="clear" w:color="auto" w:fill="auto"/>
            <w:noWrap/>
            <w:vAlign w:val="bottom"/>
            <w:hideMark/>
          </w:tcPr>
          <w:p w14:paraId="74DF2377" w14:textId="77777777" w:rsidR="00813F71" w:rsidRPr="00216C30" w:rsidRDefault="00813F71" w:rsidP="00813F71">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 </w:t>
            </w:r>
          </w:p>
        </w:tc>
        <w:tc>
          <w:tcPr>
            <w:tcW w:w="1423" w:type="dxa"/>
            <w:tcBorders>
              <w:top w:val="single" w:sz="4" w:space="0" w:color="auto"/>
              <w:left w:val="nil"/>
              <w:bottom w:val="nil"/>
              <w:right w:val="nil"/>
            </w:tcBorders>
            <w:shd w:val="clear" w:color="auto" w:fill="auto"/>
            <w:noWrap/>
            <w:vAlign w:val="bottom"/>
            <w:hideMark/>
          </w:tcPr>
          <w:p w14:paraId="2F607608" w14:textId="77777777" w:rsidR="00813F71" w:rsidRPr="00216C30" w:rsidRDefault="00813F71" w:rsidP="00813F71">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Amount</w:t>
            </w:r>
          </w:p>
        </w:tc>
        <w:tc>
          <w:tcPr>
            <w:tcW w:w="1724" w:type="dxa"/>
            <w:tcBorders>
              <w:top w:val="single" w:sz="4" w:space="0" w:color="auto"/>
              <w:left w:val="nil"/>
              <w:bottom w:val="nil"/>
              <w:right w:val="single" w:sz="4" w:space="0" w:color="auto"/>
            </w:tcBorders>
            <w:shd w:val="clear" w:color="auto" w:fill="auto"/>
            <w:noWrap/>
            <w:vAlign w:val="bottom"/>
            <w:hideMark/>
          </w:tcPr>
          <w:p w14:paraId="229CD6AB" w14:textId="77777777" w:rsidR="00813F71" w:rsidRPr="00216C30" w:rsidRDefault="00813F71" w:rsidP="00813F71">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Risk Weight</w:t>
            </w:r>
          </w:p>
        </w:tc>
      </w:tr>
      <w:tr w:rsidR="000A5113" w:rsidRPr="00864AD4" w14:paraId="550FEACB" w14:textId="77777777" w:rsidTr="00813F71">
        <w:trPr>
          <w:trHeight w:val="347"/>
        </w:trPr>
        <w:tc>
          <w:tcPr>
            <w:tcW w:w="4431" w:type="dxa"/>
            <w:gridSpan w:val="2"/>
            <w:tcBorders>
              <w:top w:val="nil"/>
              <w:left w:val="single" w:sz="4" w:space="0" w:color="auto"/>
              <w:bottom w:val="nil"/>
              <w:right w:val="nil"/>
            </w:tcBorders>
            <w:shd w:val="clear" w:color="auto" w:fill="auto"/>
            <w:noWrap/>
            <w:vAlign w:val="bottom"/>
            <w:hideMark/>
          </w:tcPr>
          <w:p w14:paraId="4A220524" w14:textId="77777777" w:rsidR="000A5113" w:rsidRPr="00216C30" w:rsidRDefault="000A5113" w:rsidP="00813F71">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Deposits with Regulated Financial Institutions</w:t>
            </w:r>
          </w:p>
        </w:tc>
        <w:tc>
          <w:tcPr>
            <w:tcW w:w="1423" w:type="dxa"/>
            <w:tcBorders>
              <w:top w:val="nil"/>
              <w:left w:val="nil"/>
              <w:bottom w:val="nil"/>
              <w:right w:val="nil"/>
            </w:tcBorders>
            <w:shd w:val="clear" w:color="auto" w:fill="auto"/>
            <w:noWrap/>
            <w:vAlign w:val="bottom"/>
            <w:hideMark/>
          </w:tcPr>
          <w:p w14:paraId="162C1311" w14:textId="35C27FE8" w:rsidR="000A5113" w:rsidRPr="00216C30" w:rsidRDefault="000A5113" w:rsidP="007D75EB">
            <w:pPr>
              <w:jc w:val="right"/>
              <w:rPr>
                <w:rFonts w:ascii="Arial" w:hAnsi="Arial" w:cs="Arial"/>
                <w:color w:val="000000"/>
                <w:sz w:val="22"/>
                <w:szCs w:val="22"/>
              </w:rPr>
            </w:pPr>
            <w:r w:rsidRPr="00216C30">
              <w:rPr>
                <w:rFonts w:ascii="Arial" w:hAnsi="Arial" w:cs="Arial"/>
                <w:color w:val="000000"/>
                <w:sz w:val="22"/>
                <w:szCs w:val="22"/>
              </w:rPr>
              <w:t>$</w:t>
            </w:r>
            <w:r w:rsidR="007D75EB" w:rsidRPr="00216C30">
              <w:rPr>
                <w:rFonts w:ascii="Arial" w:hAnsi="Arial" w:cs="Arial"/>
                <w:color w:val="000000"/>
                <w:sz w:val="22"/>
                <w:szCs w:val="22"/>
              </w:rPr>
              <w:t>1</w:t>
            </w:r>
            <w:r w:rsidR="00077591">
              <w:rPr>
                <w:rFonts w:ascii="Arial" w:hAnsi="Arial" w:cs="Arial"/>
                <w:color w:val="000000"/>
                <w:sz w:val="22"/>
                <w:szCs w:val="22"/>
              </w:rPr>
              <w:t>06,182</w:t>
            </w:r>
            <w:r w:rsidRPr="00216C30">
              <w:rPr>
                <w:rFonts w:ascii="Arial" w:hAnsi="Arial" w:cs="Arial"/>
                <w:color w:val="000000"/>
                <w:sz w:val="22"/>
                <w:szCs w:val="22"/>
              </w:rPr>
              <w:t xml:space="preserve"> </w:t>
            </w:r>
          </w:p>
        </w:tc>
        <w:tc>
          <w:tcPr>
            <w:tcW w:w="1724" w:type="dxa"/>
            <w:tcBorders>
              <w:top w:val="nil"/>
              <w:left w:val="nil"/>
              <w:bottom w:val="nil"/>
              <w:right w:val="single" w:sz="4" w:space="0" w:color="auto"/>
            </w:tcBorders>
            <w:shd w:val="clear" w:color="auto" w:fill="auto"/>
            <w:noWrap/>
            <w:vAlign w:val="bottom"/>
            <w:hideMark/>
          </w:tcPr>
          <w:p w14:paraId="33E4369D" w14:textId="77777777" w:rsidR="000A5113" w:rsidRPr="00216C30" w:rsidRDefault="000A5113">
            <w:pPr>
              <w:jc w:val="right"/>
              <w:rPr>
                <w:rFonts w:ascii="Arial" w:hAnsi="Arial" w:cs="Arial"/>
                <w:color w:val="000000"/>
                <w:sz w:val="22"/>
                <w:szCs w:val="22"/>
              </w:rPr>
            </w:pPr>
            <w:r w:rsidRPr="00216C30">
              <w:rPr>
                <w:rFonts w:ascii="Arial" w:hAnsi="Arial" w:cs="Arial"/>
                <w:color w:val="000000"/>
                <w:sz w:val="22"/>
                <w:szCs w:val="22"/>
              </w:rPr>
              <w:t>20%</w:t>
            </w:r>
          </w:p>
        </w:tc>
      </w:tr>
      <w:tr w:rsidR="000A5113" w:rsidRPr="00864AD4" w14:paraId="5D8E0CAE" w14:textId="77777777" w:rsidTr="00813F71">
        <w:trPr>
          <w:trHeight w:val="347"/>
        </w:trPr>
        <w:tc>
          <w:tcPr>
            <w:tcW w:w="4431" w:type="dxa"/>
            <w:gridSpan w:val="2"/>
            <w:tcBorders>
              <w:top w:val="nil"/>
              <w:left w:val="single" w:sz="4" w:space="0" w:color="auto"/>
              <w:bottom w:val="single" w:sz="4" w:space="0" w:color="auto"/>
              <w:right w:val="nil"/>
            </w:tcBorders>
            <w:shd w:val="clear" w:color="auto" w:fill="auto"/>
            <w:noWrap/>
            <w:vAlign w:val="bottom"/>
            <w:hideMark/>
          </w:tcPr>
          <w:p w14:paraId="5EAF4BB4" w14:textId="77777777" w:rsidR="000A5113" w:rsidRPr="00216C30" w:rsidRDefault="000A5113" w:rsidP="00813F71">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Government Issued or Guaranteed Securities</w:t>
            </w:r>
          </w:p>
        </w:tc>
        <w:tc>
          <w:tcPr>
            <w:tcW w:w="1423" w:type="dxa"/>
            <w:tcBorders>
              <w:top w:val="nil"/>
              <w:left w:val="nil"/>
              <w:bottom w:val="single" w:sz="4" w:space="0" w:color="auto"/>
              <w:right w:val="nil"/>
            </w:tcBorders>
            <w:shd w:val="clear" w:color="auto" w:fill="auto"/>
            <w:noWrap/>
            <w:vAlign w:val="bottom"/>
            <w:hideMark/>
          </w:tcPr>
          <w:p w14:paraId="05F8300E" w14:textId="480205A5" w:rsidR="000A5113" w:rsidRPr="00216C30" w:rsidRDefault="000A5113" w:rsidP="007D75EB">
            <w:pPr>
              <w:jc w:val="right"/>
              <w:rPr>
                <w:rFonts w:ascii="Arial" w:hAnsi="Arial" w:cs="Arial"/>
                <w:color w:val="000000"/>
                <w:sz w:val="22"/>
                <w:szCs w:val="22"/>
              </w:rPr>
            </w:pPr>
            <w:r w:rsidRPr="00216C30">
              <w:rPr>
                <w:rFonts w:ascii="Arial" w:hAnsi="Arial" w:cs="Arial"/>
                <w:color w:val="000000"/>
                <w:sz w:val="22"/>
                <w:szCs w:val="22"/>
              </w:rPr>
              <w:t>$</w:t>
            </w:r>
            <w:r w:rsidR="00077591">
              <w:rPr>
                <w:rFonts w:ascii="Arial" w:hAnsi="Arial" w:cs="Arial"/>
                <w:color w:val="000000"/>
                <w:sz w:val="22"/>
                <w:szCs w:val="22"/>
              </w:rPr>
              <w:t>161,024</w:t>
            </w:r>
            <w:r w:rsidRPr="00216C30">
              <w:rPr>
                <w:rFonts w:ascii="Arial" w:hAnsi="Arial" w:cs="Arial"/>
                <w:color w:val="000000"/>
                <w:sz w:val="22"/>
                <w:szCs w:val="22"/>
              </w:rPr>
              <w:t xml:space="preserve"> </w:t>
            </w:r>
          </w:p>
        </w:tc>
        <w:tc>
          <w:tcPr>
            <w:tcW w:w="1724" w:type="dxa"/>
            <w:tcBorders>
              <w:top w:val="nil"/>
              <w:left w:val="nil"/>
              <w:bottom w:val="single" w:sz="4" w:space="0" w:color="auto"/>
              <w:right w:val="single" w:sz="4" w:space="0" w:color="auto"/>
            </w:tcBorders>
            <w:shd w:val="clear" w:color="auto" w:fill="auto"/>
            <w:noWrap/>
            <w:vAlign w:val="bottom"/>
            <w:hideMark/>
          </w:tcPr>
          <w:p w14:paraId="1D583FA3" w14:textId="77777777" w:rsidR="000A5113" w:rsidRPr="00216C30" w:rsidRDefault="000A5113">
            <w:pPr>
              <w:jc w:val="right"/>
              <w:rPr>
                <w:rFonts w:ascii="Arial" w:hAnsi="Arial" w:cs="Arial"/>
                <w:color w:val="000000"/>
                <w:sz w:val="22"/>
                <w:szCs w:val="22"/>
              </w:rPr>
            </w:pPr>
            <w:r w:rsidRPr="00216C30">
              <w:rPr>
                <w:rFonts w:ascii="Arial" w:hAnsi="Arial" w:cs="Arial"/>
                <w:color w:val="000000"/>
                <w:sz w:val="22"/>
                <w:szCs w:val="22"/>
              </w:rPr>
              <w:t>0%</w:t>
            </w:r>
          </w:p>
        </w:tc>
      </w:tr>
      <w:tr w:rsidR="000A5113" w:rsidRPr="00864AD4" w14:paraId="27C8B8B8" w14:textId="77777777" w:rsidTr="00813F71">
        <w:trPr>
          <w:trHeight w:val="347"/>
        </w:trPr>
        <w:tc>
          <w:tcPr>
            <w:tcW w:w="2827" w:type="dxa"/>
            <w:tcBorders>
              <w:top w:val="nil"/>
              <w:left w:val="single" w:sz="4" w:space="0" w:color="auto"/>
              <w:bottom w:val="single" w:sz="4" w:space="0" w:color="auto"/>
              <w:right w:val="nil"/>
            </w:tcBorders>
            <w:shd w:val="clear" w:color="auto" w:fill="auto"/>
            <w:noWrap/>
            <w:vAlign w:val="bottom"/>
            <w:hideMark/>
          </w:tcPr>
          <w:p w14:paraId="2D895F74" w14:textId="77777777" w:rsidR="000A5113" w:rsidRPr="00216C30" w:rsidRDefault="000A5113" w:rsidP="00813F71">
            <w:pPr>
              <w:jc w:val="lef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Total</w:t>
            </w:r>
          </w:p>
        </w:tc>
        <w:tc>
          <w:tcPr>
            <w:tcW w:w="1604" w:type="dxa"/>
            <w:tcBorders>
              <w:top w:val="nil"/>
              <w:left w:val="nil"/>
              <w:bottom w:val="single" w:sz="4" w:space="0" w:color="auto"/>
              <w:right w:val="nil"/>
            </w:tcBorders>
            <w:shd w:val="clear" w:color="auto" w:fill="auto"/>
            <w:noWrap/>
            <w:vAlign w:val="bottom"/>
            <w:hideMark/>
          </w:tcPr>
          <w:p w14:paraId="0A1FC2BB" w14:textId="77777777" w:rsidR="000A5113" w:rsidRPr="00216C30" w:rsidRDefault="000A5113">
            <w:pPr>
              <w:jc w:val="right"/>
              <w:rPr>
                <w:rFonts w:ascii="Arial" w:hAnsi="Arial" w:cs="Arial"/>
                <w:b/>
                <w:bCs/>
                <w:color w:val="000000"/>
                <w:sz w:val="22"/>
                <w:szCs w:val="22"/>
              </w:rPr>
            </w:pPr>
          </w:p>
        </w:tc>
        <w:tc>
          <w:tcPr>
            <w:tcW w:w="1423" w:type="dxa"/>
            <w:tcBorders>
              <w:top w:val="nil"/>
              <w:left w:val="nil"/>
              <w:bottom w:val="single" w:sz="4" w:space="0" w:color="auto"/>
              <w:right w:val="nil"/>
            </w:tcBorders>
            <w:shd w:val="clear" w:color="auto" w:fill="auto"/>
            <w:noWrap/>
            <w:vAlign w:val="bottom"/>
            <w:hideMark/>
          </w:tcPr>
          <w:p w14:paraId="7F7E2E63" w14:textId="663A888A" w:rsidR="000A5113" w:rsidRPr="00216C30" w:rsidRDefault="000A5113" w:rsidP="007D75EB">
            <w:pPr>
              <w:jc w:val="right"/>
              <w:rPr>
                <w:rFonts w:ascii="Arial" w:hAnsi="Arial" w:cs="Arial"/>
                <w:b/>
                <w:bCs/>
                <w:color w:val="000000"/>
                <w:sz w:val="22"/>
                <w:szCs w:val="22"/>
              </w:rPr>
            </w:pPr>
            <w:r w:rsidRPr="00216C30">
              <w:rPr>
                <w:rFonts w:ascii="Arial" w:hAnsi="Arial" w:cs="Arial"/>
                <w:b/>
                <w:bCs/>
                <w:color w:val="000000"/>
                <w:sz w:val="22"/>
                <w:szCs w:val="22"/>
              </w:rPr>
              <w:t>$</w:t>
            </w:r>
            <w:r w:rsidR="00077591">
              <w:rPr>
                <w:rFonts w:ascii="Arial" w:hAnsi="Arial" w:cs="Arial"/>
                <w:b/>
                <w:bCs/>
                <w:color w:val="000000"/>
                <w:sz w:val="22"/>
                <w:szCs w:val="22"/>
              </w:rPr>
              <w:t>267,206</w:t>
            </w:r>
          </w:p>
        </w:tc>
        <w:tc>
          <w:tcPr>
            <w:tcW w:w="1724" w:type="dxa"/>
            <w:tcBorders>
              <w:top w:val="nil"/>
              <w:left w:val="nil"/>
              <w:bottom w:val="single" w:sz="4" w:space="0" w:color="auto"/>
              <w:right w:val="single" w:sz="4" w:space="0" w:color="auto"/>
            </w:tcBorders>
            <w:shd w:val="clear" w:color="auto" w:fill="auto"/>
            <w:noWrap/>
            <w:vAlign w:val="bottom"/>
            <w:hideMark/>
          </w:tcPr>
          <w:p w14:paraId="26C67D7C" w14:textId="77777777" w:rsidR="000A5113" w:rsidRPr="00216C30" w:rsidRDefault="000A5113" w:rsidP="00813F71">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 </w:t>
            </w:r>
          </w:p>
        </w:tc>
      </w:tr>
    </w:tbl>
    <w:p w14:paraId="5A6326EF" w14:textId="77777777" w:rsidR="00B25ABB" w:rsidRPr="00216C30" w:rsidRDefault="00B25ABB" w:rsidP="00DC2083">
      <w:pPr>
        <w:rPr>
          <w:rFonts w:ascii="Arial" w:hAnsi="Arial" w:cs="Arial"/>
          <w:b/>
          <w:lang w:val="en-US"/>
        </w:rPr>
      </w:pPr>
    </w:p>
    <w:p w14:paraId="28D99297" w14:textId="77777777" w:rsidR="00813F71" w:rsidRPr="00216C30" w:rsidRDefault="00813F71" w:rsidP="00DC2083">
      <w:pPr>
        <w:rPr>
          <w:rFonts w:ascii="Arial" w:hAnsi="Arial" w:cs="Arial"/>
          <w:b/>
          <w:lang w:val="en-US"/>
        </w:rPr>
      </w:pPr>
    </w:p>
    <w:p w14:paraId="3DD976AF" w14:textId="77777777" w:rsidR="00813F71" w:rsidRPr="00216C30" w:rsidRDefault="00813F71" w:rsidP="00F0411C">
      <w:pPr>
        <w:pStyle w:val="Heading2"/>
        <w:ind w:left="0"/>
        <w:jc w:val="left"/>
        <w:rPr>
          <w:rFonts w:ascii="Arial" w:hAnsi="Arial" w:cs="Arial"/>
          <w:i w:val="0"/>
        </w:rPr>
      </w:pPr>
      <w:bookmarkStart w:id="19" w:name="_Toc38875951"/>
      <w:r w:rsidRPr="00216C30">
        <w:rPr>
          <w:rFonts w:ascii="Arial" w:hAnsi="Arial" w:cs="Arial"/>
          <w:i w:val="0"/>
        </w:rPr>
        <w:t>DISCLOSURES FOR PORTFOLIOS SUBJECT TO IRB APPROACHES</w:t>
      </w:r>
      <w:bookmarkEnd w:id="19"/>
    </w:p>
    <w:p w14:paraId="5AAAEA85" w14:textId="77777777" w:rsidR="00813F71" w:rsidRPr="00216C30" w:rsidRDefault="009B06B3" w:rsidP="00DC2083">
      <w:pPr>
        <w:rPr>
          <w:rFonts w:ascii="Arial" w:hAnsi="Arial" w:cs="Arial"/>
          <w:lang w:val="en-US"/>
        </w:rPr>
      </w:pPr>
      <w:r>
        <w:rPr>
          <w:rFonts w:ascii="Arial" w:hAnsi="Arial" w:cs="Arial"/>
          <w:lang w:val="en-US"/>
        </w:rPr>
        <w:t>The Bank</w:t>
      </w:r>
      <w:r w:rsidR="00C835D1" w:rsidRPr="00216C30">
        <w:rPr>
          <w:rFonts w:ascii="Arial" w:hAnsi="Arial" w:cs="Arial"/>
          <w:lang w:val="en-US"/>
        </w:rPr>
        <w:t xml:space="preserve"> </w:t>
      </w:r>
      <w:r w:rsidR="00813F71" w:rsidRPr="00216C30">
        <w:rPr>
          <w:rFonts w:ascii="Arial" w:hAnsi="Arial" w:cs="Arial"/>
          <w:lang w:val="en-US"/>
        </w:rPr>
        <w:t xml:space="preserve">manages </w:t>
      </w:r>
      <w:r w:rsidR="000736FF" w:rsidRPr="00216C30">
        <w:rPr>
          <w:rFonts w:ascii="Arial" w:hAnsi="Arial" w:cs="Arial"/>
          <w:lang w:val="en-US"/>
        </w:rPr>
        <w:t>credit risk using the standardiz</w:t>
      </w:r>
      <w:r w:rsidR="00813F71" w:rsidRPr="00216C30">
        <w:rPr>
          <w:rFonts w:ascii="Arial" w:hAnsi="Arial" w:cs="Arial"/>
          <w:lang w:val="en-US"/>
        </w:rPr>
        <w:t>ed approach, and as such, the bank does not have any portfolios subject to the Internal Ratings</w:t>
      </w:r>
      <w:r w:rsidR="00813F71" w:rsidRPr="00864AD4">
        <w:rPr>
          <w:rFonts w:ascii="Cambria Math" w:hAnsi="Cambria Math" w:cs="Cambria Math"/>
          <w:lang w:val="en-US"/>
        </w:rPr>
        <w:t>‐</w:t>
      </w:r>
      <w:r w:rsidR="00813F71" w:rsidRPr="00216C30">
        <w:rPr>
          <w:rFonts w:ascii="Arial" w:hAnsi="Arial" w:cs="Arial"/>
          <w:lang w:val="en-US"/>
        </w:rPr>
        <w:t>Based (IRB) approach.</w:t>
      </w:r>
    </w:p>
    <w:p w14:paraId="69F3CD13" w14:textId="77777777" w:rsidR="00DC2083" w:rsidRPr="00216C30" w:rsidRDefault="00DC2083" w:rsidP="00DC2083">
      <w:pPr>
        <w:rPr>
          <w:rFonts w:ascii="Arial" w:hAnsi="Arial" w:cs="Arial"/>
          <w:b/>
          <w:lang w:val="en-US"/>
        </w:rPr>
      </w:pPr>
    </w:p>
    <w:p w14:paraId="490F4D29" w14:textId="77777777" w:rsidR="00813F71" w:rsidRPr="00216C30" w:rsidRDefault="00813F71" w:rsidP="00DC2083">
      <w:pPr>
        <w:rPr>
          <w:rFonts w:ascii="Arial" w:hAnsi="Arial" w:cs="Arial"/>
          <w:b/>
          <w:lang w:val="en-US"/>
        </w:rPr>
      </w:pPr>
    </w:p>
    <w:p w14:paraId="6B0FF003" w14:textId="0DD495C7" w:rsidR="00DC2083" w:rsidRPr="00216C30" w:rsidRDefault="00813F71" w:rsidP="00F0411C">
      <w:pPr>
        <w:pStyle w:val="Heading2"/>
        <w:ind w:left="0"/>
        <w:jc w:val="left"/>
        <w:rPr>
          <w:rFonts w:ascii="Arial" w:hAnsi="Arial" w:cs="Arial"/>
          <w:i w:val="0"/>
        </w:rPr>
      </w:pPr>
      <w:bookmarkStart w:id="20" w:name="_Toc38875952"/>
      <w:r w:rsidRPr="00216C30">
        <w:rPr>
          <w:rFonts w:ascii="Arial" w:hAnsi="Arial" w:cs="Arial"/>
          <w:i w:val="0"/>
        </w:rPr>
        <w:t>CREDIT RISK MITIGATION</w:t>
      </w:r>
      <w:bookmarkEnd w:id="20"/>
    </w:p>
    <w:p w14:paraId="5D77A64A" w14:textId="5C9D0A7C" w:rsidR="00404680" w:rsidRPr="009F46AC" w:rsidRDefault="009B06B3" w:rsidP="009F46AC">
      <w:pPr>
        <w:rPr>
          <w:rFonts w:ascii="Arial" w:hAnsi="Arial" w:cs="Arial"/>
          <w:lang w:val="en-US"/>
        </w:rPr>
      </w:pPr>
      <w:r w:rsidRPr="00404680">
        <w:rPr>
          <w:rFonts w:ascii="Arial" w:hAnsi="Arial" w:cs="Arial"/>
          <w:lang w:val="en-US"/>
        </w:rPr>
        <w:t xml:space="preserve">The bank invests in government issued or guaranteed securities and deposits with regulated financial institutions. </w:t>
      </w:r>
      <w:r>
        <w:rPr>
          <w:rFonts w:ascii="Arial" w:hAnsi="Arial" w:cs="Arial"/>
          <w:lang w:val="en-US"/>
        </w:rPr>
        <w:t>The Bank</w:t>
      </w:r>
      <w:r w:rsidR="00813F71" w:rsidRPr="00404680">
        <w:rPr>
          <w:rFonts w:ascii="Arial" w:hAnsi="Arial" w:cs="Arial"/>
          <w:lang w:val="en-US"/>
        </w:rPr>
        <w:t xml:space="preserve">’s loans receivable consists of credit card receivables exclusively. The credit card loans are unsecured and are not guaranteed. </w:t>
      </w:r>
      <w:r>
        <w:rPr>
          <w:rFonts w:ascii="Arial" w:hAnsi="Arial" w:cs="Arial"/>
          <w:lang w:val="en-US"/>
        </w:rPr>
        <w:t>However</w:t>
      </w:r>
      <w:r w:rsidR="00813F71" w:rsidRPr="00404680">
        <w:rPr>
          <w:rFonts w:ascii="Arial" w:hAnsi="Arial" w:cs="Arial"/>
          <w:lang w:val="en-US"/>
        </w:rPr>
        <w:t xml:space="preserve">, </w:t>
      </w:r>
      <w:r>
        <w:rPr>
          <w:rFonts w:ascii="Arial" w:hAnsi="Arial" w:cs="Arial"/>
          <w:lang w:val="en-US"/>
        </w:rPr>
        <w:t>based on</w:t>
      </w:r>
      <w:r w:rsidR="00DF1A98" w:rsidRPr="00404680">
        <w:rPr>
          <w:rFonts w:ascii="Arial" w:hAnsi="Arial" w:cs="Arial"/>
          <w:lang w:val="en-US"/>
        </w:rPr>
        <w:t xml:space="preserve"> the controls that are specified in the </w:t>
      </w:r>
      <w:r>
        <w:rPr>
          <w:rFonts w:ascii="Arial" w:hAnsi="Arial" w:cs="Arial"/>
          <w:lang w:val="en-US"/>
        </w:rPr>
        <w:t xml:space="preserve">Credit Risk section in the </w:t>
      </w:r>
      <w:r w:rsidR="00DF1A98" w:rsidRPr="00404680">
        <w:rPr>
          <w:rFonts w:ascii="Arial" w:hAnsi="Arial" w:cs="Arial"/>
          <w:lang w:val="en-US"/>
        </w:rPr>
        <w:t>first part of this document, the Bank is</w:t>
      </w:r>
      <w:r w:rsidR="00813F71" w:rsidRPr="00404680">
        <w:rPr>
          <w:rFonts w:ascii="Arial" w:hAnsi="Arial" w:cs="Arial"/>
          <w:lang w:val="en-US"/>
        </w:rPr>
        <w:t xml:space="preserve"> </w:t>
      </w:r>
      <w:r>
        <w:rPr>
          <w:rFonts w:ascii="Arial" w:hAnsi="Arial" w:cs="Arial"/>
          <w:lang w:val="en-US"/>
        </w:rPr>
        <w:t>active in mitigating its credit risk</w:t>
      </w:r>
      <w:r w:rsidR="00813F71" w:rsidRPr="00404680">
        <w:rPr>
          <w:rFonts w:ascii="Arial" w:hAnsi="Arial" w:cs="Arial"/>
          <w:lang w:val="en-US"/>
        </w:rPr>
        <w:t>.</w:t>
      </w:r>
    </w:p>
    <w:p w14:paraId="523340D2" w14:textId="77777777" w:rsidR="00404680" w:rsidRDefault="00404680" w:rsidP="00F0411C">
      <w:pPr>
        <w:pStyle w:val="Heading2"/>
        <w:ind w:left="0"/>
        <w:jc w:val="left"/>
        <w:rPr>
          <w:rFonts w:ascii="Arial" w:hAnsi="Arial" w:cs="Arial"/>
          <w:lang w:val="en-US"/>
        </w:rPr>
      </w:pPr>
    </w:p>
    <w:p w14:paraId="134A8D43" w14:textId="77777777" w:rsidR="00B62E1D" w:rsidRPr="00216C30" w:rsidRDefault="00B62E1D" w:rsidP="00F0411C">
      <w:pPr>
        <w:pStyle w:val="Heading2"/>
        <w:ind w:left="0"/>
        <w:jc w:val="left"/>
        <w:rPr>
          <w:rFonts w:ascii="Arial" w:hAnsi="Arial" w:cs="Arial"/>
          <w:b w:val="0"/>
          <w:lang w:val="en-US"/>
        </w:rPr>
      </w:pPr>
      <w:bookmarkStart w:id="21" w:name="_Toc38875953"/>
      <w:r w:rsidRPr="00216C30">
        <w:rPr>
          <w:rFonts w:ascii="Arial" w:hAnsi="Arial" w:cs="Arial"/>
          <w:i w:val="0"/>
        </w:rPr>
        <w:t>GENERAL DISCLOSURE FOR EXPOSURES RELATED TO COUNTERPARTY CREDIT RISK</w:t>
      </w:r>
      <w:bookmarkEnd w:id="21"/>
    </w:p>
    <w:p w14:paraId="2E19F611" w14:textId="77777777" w:rsidR="00B62E1D" w:rsidRPr="00216C30" w:rsidRDefault="009B06B3" w:rsidP="00B62E1D">
      <w:pPr>
        <w:rPr>
          <w:rFonts w:ascii="Arial" w:hAnsi="Arial" w:cs="Arial"/>
          <w:lang w:val="en-US"/>
        </w:rPr>
      </w:pPr>
      <w:r>
        <w:rPr>
          <w:rFonts w:ascii="Arial" w:hAnsi="Arial" w:cs="Arial"/>
          <w:lang w:val="en-US"/>
        </w:rPr>
        <w:t>The Bank</w:t>
      </w:r>
      <w:r w:rsidR="00C835D1" w:rsidRPr="00216C30">
        <w:rPr>
          <w:rFonts w:ascii="Arial" w:hAnsi="Arial" w:cs="Arial"/>
          <w:lang w:val="en-US"/>
        </w:rPr>
        <w:t xml:space="preserve"> </w:t>
      </w:r>
      <w:r w:rsidR="00B62E1D" w:rsidRPr="00216C30">
        <w:rPr>
          <w:rFonts w:ascii="Arial" w:hAnsi="Arial" w:cs="Arial"/>
          <w:lang w:val="en-US"/>
        </w:rPr>
        <w:t>does not have large counterparty exposure to financial guarantors, investment banks or derivative counterparties. The only exposure</w:t>
      </w:r>
      <w:r w:rsidR="0032123B" w:rsidRPr="00216C30">
        <w:rPr>
          <w:rFonts w:ascii="Arial" w:hAnsi="Arial" w:cs="Arial"/>
          <w:lang w:val="en-US"/>
        </w:rPr>
        <w:t>s the Bank has are</w:t>
      </w:r>
      <w:r w:rsidR="00B62E1D" w:rsidRPr="00216C30">
        <w:rPr>
          <w:rFonts w:ascii="Arial" w:hAnsi="Arial" w:cs="Arial"/>
          <w:lang w:val="en-US"/>
        </w:rPr>
        <w:t xml:space="preserve"> listed in the standardized approach disclosure above. The Bank holds those asset</w:t>
      </w:r>
      <w:r w:rsidR="007E1AB7" w:rsidRPr="00216C30">
        <w:rPr>
          <w:rFonts w:ascii="Arial" w:hAnsi="Arial" w:cs="Arial"/>
          <w:lang w:val="en-US"/>
        </w:rPr>
        <w:t>s solely for the intent to fu</w:t>
      </w:r>
      <w:r w:rsidR="00B62E1D" w:rsidRPr="00216C30">
        <w:rPr>
          <w:rFonts w:ascii="Arial" w:hAnsi="Arial" w:cs="Arial"/>
          <w:lang w:val="en-US"/>
        </w:rPr>
        <w:t xml:space="preserve">nd its growing portfolio and for compliance with all regulatory </w:t>
      </w:r>
      <w:r w:rsidR="00737666" w:rsidRPr="00216C30">
        <w:rPr>
          <w:rFonts w:ascii="Arial" w:hAnsi="Arial" w:cs="Arial"/>
          <w:lang w:val="en-US"/>
        </w:rPr>
        <w:t xml:space="preserve">liquidity </w:t>
      </w:r>
      <w:r w:rsidR="00B62E1D" w:rsidRPr="00216C30">
        <w:rPr>
          <w:rFonts w:ascii="Arial" w:hAnsi="Arial" w:cs="Arial"/>
          <w:lang w:val="en-US"/>
        </w:rPr>
        <w:t>metrics.</w:t>
      </w:r>
    </w:p>
    <w:p w14:paraId="3501C2E4" w14:textId="77777777" w:rsidR="001658A3" w:rsidRPr="00216C30" w:rsidRDefault="001658A3" w:rsidP="00B62E1D">
      <w:pPr>
        <w:rPr>
          <w:rFonts w:ascii="Arial" w:hAnsi="Arial" w:cs="Arial"/>
          <w:lang w:val="en-US"/>
        </w:rPr>
      </w:pPr>
    </w:p>
    <w:p w14:paraId="1F9E8111" w14:textId="77777777" w:rsidR="00F0411C" w:rsidRPr="00216C30" w:rsidRDefault="00F0411C" w:rsidP="00B62E1D">
      <w:pPr>
        <w:rPr>
          <w:rFonts w:ascii="Arial" w:hAnsi="Arial" w:cs="Arial"/>
          <w:lang w:val="en-US"/>
        </w:rPr>
      </w:pPr>
    </w:p>
    <w:p w14:paraId="1ECA33A8" w14:textId="77777777" w:rsidR="001658A3" w:rsidRPr="00216C30" w:rsidRDefault="001658A3" w:rsidP="00F0411C">
      <w:pPr>
        <w:pStyle w:val="Heading2"/>
        <w:ind w:left="0"/>
        <w:jc w:val="left"/>
        <w:rPr>
          <w:rFonts w:ascii="Arial" w:hAnsi="Arial" w:cs="Arial"/>
          <w:i w:val="0"/>
        </w:rPr>
      </w:pPr>
      <w:bookmarkStart w:id="22" w:name="_Toc38875954"/>
      <w:r w:rsidRPr="00216C30">
        <w:rPr>
          <w:rFonts w:ascii="Arial" w:hAnsi="Arial" w:cs="Arial"/>
          <w:i w:val="0"/>
        </w:rPr>
        <w:t>SECURITIZATION: DISCLOSURE FOR STANDARDI</w:t>
      </w:r>
      <w:r w:rsidR="000736FF" w:rsidRPr="00216C30">
        <w:rPr>
          <w:rFonts w:ascii="Arial" w:hAnsi="Arial" w:cs="Arial"/>
          <w:i w:val="0"/>
        </w:rPr>
        <w:t>Z</w:t>
      </w:r>
      <w:r w:rsidRPr="00216C30">
        <w:rPr>
          <w:rFonts w:ascii="Arial" w:hAnsi="Arial" w:cs="Arial"/>
          <w:i w:val="0"/>
        </w:rPr>
        <w:t>ED APPROACH</w:t>
      </w:r>
      <w:bookmarkEnd w:id="22"/>
    </w:p>
    <w:p w14:paraId="4E2C7CA3" w14:textId="77777777" w:rsidR="00155AFE" w:rsidRPr="00216C30" w:rsidRDefault="009B06B3" w:rsidP="00155AFE">
      <w:pPr>
        <w:rPr>
          <w:rFonts w:ascii="Arial" w:hAnsi="Arial" w:cs="Arial"/>
          <w:lang w:val="en-US"/>
        </w:rPr>
      </w:pPr>
      <w:r>
        <w:rPr>
          <w:rFonts w:ascii="Arial" w:hAnsi="Arial" w:cs="Arial"/>
          <w:lang w:val="en-US"/>
        </w:rPr>
        <w:t>The Bank</w:t>
      </w:r>
      <w:r w:rsidR="00C835D1" w:rsidRPr="00216C30">
        <w:rPr>
          <w:rFonts w:ascii="Arial" w:hAnsi="Arial" w:cs="Arial"/>
          <w:lang w:val="en-US"/>
        </w:rPr>
        <w:t xml:space="preserve"> </w:t>
      </w:r>
      <w:r w:rsidR="00155AFE" w:rsidRPr="00216C30">
        <w:rPr>
          <w:rFonts w:ascii="Arial" w:hAnsi="Arial" w:cs="Arial"/>
        </w:rPr>
        <w:t xml:space="preserve">originates credit card loans which it began securitizing in April 2019 as part of its diverse funding strategy and for capital efficiency purposes. In </w:t>
      </w:r>
      <w:proofErr w:type="gramStart"/>
      <w:r w:rsidR="00155AFE" w:rsidRPr="00216C30">
        <w:rPr>
          <w:rFonts w:ascii="Arial" w:hAnsi="Arial" w:cs="Arial"/>
        </w:rPr>
        <w:t>April 2019</w:t>
      </w:r>
      <w:proofErr w:type="gramEnd"/>
      <w:r w:rsidR="00155AFE" w:rsidRPr="00216C30">
        <w:rPr>
          <w:rFonts w:ascii="Arial" w:hAnsi="Arial" w:cs="Arial"/>
        </w:rPr>
        <w:t xml:space="preserve"> the </w:t>
      </w:r>
      <w:r w:rsidR="00155AFE" w:rsidRPr="00216C30">
        <w:rPr>
          <w:rFonts w:ascii="Arial" w:hAnsi="Arial" w:cs="Arial"/>
        </w:rPr>
        <w:lastRenderedPageBreak/>
        <w:t>Bank established a structured special purpose entity</w:t>
      </w:r>
      <w:r>
        <w:rPr>
          <w:rFonts w:ascii="Arial" w:hAnsi="Arial" w:cs="Arial"/>
        </w:rPr>
        <w:t>,</w:t>
      </w:r>
      <w:r w:rsidR="00155AFE" w:rsidRPr="00216C30">
        <w:rPr>
          <w:rFonts w:ascii="Arial" w:hAnsi="Arial" w:cs="Arial"/>
        </w:rPr>
        <w:t xml:space="preserve"> Canvas Cards Trust (“CCT”)</w:t>
      </w:r>
      <w:r>
        <w:rPr>
          <w:rFonts w:ascii="Arial" w:hAnsi="Arial" w:cs="Arial"/>
        </w:rPr>
        <w:t>,</w:t>
      </w:r>
      <w:r w:rsidR="00155AFE" w:rsidRPr="00216C30">
        <w:rPr>
          <w:rFonts w:ascii="Arial" w:hAnsi="Arial" w:cs="Arial"/>
        </w:rPr>
        <w:t xml:space="preserve"> to facilitate the securitization. The Bank transfers a co-ownership interest in the credit card loans on a revolving basis to CCT in exchange for cash proceeds. CCT funds the purchase of the co-ownership interest by issuing notes secured by the co-ownership interest in the credit card loans. The Bank continues to service the transferred credit card loans and retains the account relationships with the customers as well as a residual interest in the credit card loans. Proceeds received from transferred co-ownership interests are reinvested in additional co-ownership interests to facilitate funding as per the Bank’s funding strategy and target funding mix between deposits and securitizations. </w:t>
      </w:r>
    </w:p>
    <w:p w14:paraId="1BB6536E" w14:textId="77777777" w:rsidR="00155AFE" w:rsidRPr="00216C30" w:rsidRDefault="002E2717" w:rsidP="00155AFE">
      <w:pPr>
        <w:rPr>
          <w:rFonts w:ascii="Arial" w:hAnsi="Arial" w:cs="Arial"/>
        </w:rPr>
      </w:pPr>
      <w:r w:rsidRPr="00216C30">
        <w:rPr>
          <w:rFonts w:ascii="Arial" w:hAnsi="Arial" w:cs="Arial"/>
        </w:rPr>
        <w:br/>
      </w:r>
      <w:r w:rsidR="00155AFE" w:rsidRPr="00216C30">
        <w:rPr>
          <w:rFonts w:ascii="Arial" w:hAnsi="Arial" w:cs="Arial"/>
        </w:rPr>
        <w:t xml:space="preserve">For legal purposes, the </w:t>
      </w:r>
      <w:r w:rsidR="009B06B3">
        <w:rPr>
          <w:rFonts w:ascii="Arial" w:hAnsi="Arial" w:cs="Arial"/>
        </w:rPr>
        <w:t>B</w:t>
      </w:r>
      <w:r w:rsidR="00155AFE" w:rsidRPr="00216C30">
        <w:rPr>
          <w:rFonts w:ascii="Arial" w:hAnsi="Arial" w:cs="Arial"/>
        </w:rPr>
        <w:t xml:space="preserve">ank has sold a co-ownership interest in the credit card loans which are beyond the reach of the Bank’s creditors. However, as the Bank retains exposure to substantially all the risks and rewards of the transferred co-ownership interest in the credit card loans and continues to control CCT, for financial reporting purposes the Bank does not derecognize the transferred interest in the credit card loans and consolidates CCT. The securitized interest in the credit card loans therefore remain on the Bank’s consolidated financial statements subject to continued measurement at amortized cost and assessment for impairment. In addition, upon consolidation of CCT, the notes issued by CCT are included as liabilities on the Bank’s consolidated financial statements and carried at amortized cost. </w:t>
      </w:r>
    </w:p>
    <w:p w14:paraId="3CAB711D" w14:textId="77777777" w:rsidR="00155AFE" w:rsidRPr="00216C30" w:rsidRDefault="002E2717" w:rsidP="00155AFE">
      <w:pPr>
        <w:rPr>
          <w:rFonts w:ascii="Arial" w:hAnsi="Arial" w:cs="Arial"/>
        </w:rPr>
      </w:pPr>
      <w:r w:rsidRPr="00216C30">
        <w:rPr>
          <w:rFonts w:ascii="Arial" w:hAnsi="Arial" w:cs="Arial"/>
        </w:rPr>
        <w:br/>
      </w:r>
      <w:r w:rsidR="00155AFE" w:rsidRPr="00216C30">
        <w:rPr>
          <w:rFonts w:ascii="Arial" w:hAnsi="Arial" w:cs="Arial"/>
        </w:rPr>
        <w:t xml:space="preserve">For regulatory capital purposes, the credit card loans are considered part of risk weighted assets no differently than had they not been securitized. </w:t>
      </w:r>
    </w:p>
    <w:p w14:paraId="181F2A52" w14:textId="77777777" w:rsidR="002E2717" w:rsidRPr="00216C30" w:rsidRDefault="002E2717" w:rsidP="00155AFE">
      <w:pPr>
        <w:rPr>
          <w:rFonts w:ascii="Arial" w:hAnsi="Arial" w:cs="Arial"/>
        </w:rPr>
      </w:pPr>
    </w:p>
    <w:p w14:paraId="7EA75BE2" w14:textId="04033857" w:rsidR="00155AFE" w:rsidRPr="00216C30" w:rsidRDefault="00155AFE" w:rsidP="00155AFE">
      <w:pPr>
        <w:rPr>
          <w:rFonts w:ascii="Arial" w:hAnsi="Arial" w:cs="Arial"/>
        </w:rPr>
      </w:pPr>
      <w:r w:rsidRPr="00216C30">
        <w:rPr>
          <w:rFonts w:ascii="Arial" w:hAnsi="Arial" w:cs="Arial"/>
        </w:rPr>
        <w:t xml:space="preserve">As at </w:t>
      </w:r>
      <w:r w:rsidR="00077591">
        <w:rPr>
          <w:rFonts w:ascii="Arial" w:hAnsi="Arial" w:cs="Arial"/>
        </w:rPr>
        <w:t>December 31</w:t>
      </w:r>
      <w:r w:rsidRPr="00216C30">
        <w:rPr>
          <w:rFonts w:ascii="Arial" w:hAnsi="Arial" w:cs="Arial"/>
        </w:rPr>
        <w:t xml:space="preserve">, 2019, the following table sets out the carrying value and fair value of the Bank’s transferred co-ownership interest in the credit card loans and the associated notes issued by CCT: </w:t>
      </w:r>
    </w:p>
    <w:p w14:paraId="757CF3F8" w14:textId="77777777" w:rsidR="00D854A0" w:rsidRPr="00216C30" w:rsidRDefault="00D854A0" w:rsidP="00155AFE">
      <w:pPr>
        <w:rPr>
          <w:rFonts w:ascii="Arial" w:hAnsi="Arial" w:cs="Arial"/>
        </w:rPr>
      </w:pPr>
    </w:p>
    <w:tbl>
      <w:tblPr>
        <w:tblW w:w="8612" w:type="dxa"/>
        <w:tblInd w:w="108" w:type="dxa"/>
        <w:tblLook w:val="04A0" w:firstRow="1" w:lastRow="0" w:firstColumn="1" w:lastColumn="0" w:noHBand="0" w:noVBand="1"/>
      </w:tblPr>
      <w:tblGrid>
        <w:gridCol w:w="5462"/>
        <w:gridCol w:w="1544"/>
        <w:gridCol w:w="1606"/>
      </w:tblGrid>
      <w:tr w:rsidR="00155AFE" w:rsidRPr="00424CC3" w14:paraId="1FD7900B" w14:textId="77777777" w:rsidTr="00D854A0">
        <w:trPr>
          <w:trHeight w:val="300"/>
        </w:trPr>
        <w:tc>
          <w:tcPr>
            <w:tcW w:w="54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A86F7F" w14:textId="77777777" w:rsidR="00155AFE" w:rsidRPr="00216C30" w:rsidRDefault="00155AFE" w:rsidP="00155AFE">
            <w:pPr>
              <w:rPr>
                <w:rFonts w:ascii="Arial" w:hAnsi="Arial" w:cs="Arial"/>
                <w:color w:val="000000"/>
                <w:sz w:val="22"/>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A4576" w14:textId="77777777" w:rsidR="00155AFE" w:rsidRPr="00216C30" w:rsidRDefault="00155AFE" w:rsidP="00155AFE">
            <w:pPr>
              <w:jc w:val="center"/>
              <w:rPr>
                <w:rFonts w:ascii="Arial" w:hAnsi="Arial" w:cs="Arial"/>
                <w:b/>
                <w:bCs/>
                <w:color w:val="000000"/>
                <w:sz w:val="22"/>
              </w:rPr>
            </w:pPr>
            <w:r w:rsidRPr="00216C30">
              <w:rPr>
                <w:rFonts w:ascii="Arial" w:hAnsi="Arial" w:cs="Arial"/>
                <w:b/>
                <w:bCs/>
                <w:color w:val="000000"/>
                <w:sz w:val="22"/>
              </w:rPr>
              <w:t>2019</w:t>
            </w:r>
          </w:p>
        </w:tc>
      </w:tr>
      <w:tr w:rsidR="00155AFE" w:rsidRPr="00424CC3" w14:paraId="1F5476A4" w14:textId="77777777" w:rsidTr="00D854A0">
        <w:trPr>
          <w:trHeight w:val="300"/>
        </w:trPr>
        <w:tc>
          <w:tcPr>
            <w:tcW w:w="5462" w:type="dxa"/>
            <w:tcBorders>
              <w:top w:val="single" w:sz="8" w:space="0" w:color="auto"/>
              <w:left w:val="single" w:sz="8" w:space="0" w:color="auto"/>
              <w:bottom w:val="single" w:sz="8" w:space="0" w:color="auto"/>
              <w:right w:val="single" w:sz="4" w:space="0" w:color="auto"/>
            </w:tcBorders>
            <w:shd w:val="clear" w:color="auto" w:fill="auto"/>
            <w:vAlign w:val="center"/>
          </w:tcPr>
          <w:p w14:paraId="2BBDB71C" w14:textId="77777777" w:rsidR="00155AFE" w:rsidRPr="00216C30" w:rsidRDefault="00155AFE" w:rsidP="00155AFE">
            <w:pPr>
              <w:rPr>
                <w:rFonts w:ascii="Arial" w:hAnsi="Arial" w:cs="Arial"/>
                <w:color w:val="000000"/>
                <w:sz w:val="22"/>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8268118" w14:textId="77777777" w:rsidR="00155AFE" w:rsidRPr="00216C30" w:rsidRDefault="00155AFE" w:rsidP="00155AFE">
            <w:pPr>
              <w:jc w:val="center"/>
              <w:rPr>
                <w:rFonts w:ascii="Arial" w:hAnsi="Arial" w:cs="Arial"/>
                <w:b/>
                <w:bCs/>
                <w:color w:val="000000"/>
                <w:sz w:val="22"/>
              </w:rPr>
            </w:pPr>
            <w:r w:rsidRPr="00216C30">
              <w:rPr>
                <w:rFonts w:ascii="Arial" w:hAnsi="Arial" w:cs="Arial"/>
                <w:b/>
                <w:bCs/>
                <w:color w:val="000000"/>
                <w:sz w:val="22"/>
              </w:rPr>
              <w:t>Carrying Value</w:t>
            </w:r>
          </w:p>
        </w:tc>
        <w:tc>
          <w:tcPr>
            <w:tcW w:w="1606" w:type="dxa"/>
            <w:tcBorders>
              <w:top w:val="single" w:sz="4" w:space="0" w:color="auto"/>
              <w:left w:val="single" w:sz="4" w:space="0" w:color="auto"/>
              <w:bottom w:val="single" w:sz="4" w:space="0" w:color="auto"/>
              <w:right w:val="single" w:sz="4" w:space="0" w:color="auto"/>
            </w:tcBorders>
          </w:tcPr>
          <w:p w14:paraId="683339FA" w14:textId="77777777" w:rsidR="00155AFE" w:rsidRPr="00216C30" w:rsidRDefault="00155AFE" w:rsidP="00155AFE">
            <w:pPr>
              <w:jc w:val="center"/>
              <w:rPr>
                <w:rFonts w:ascii="Arial" w:hAnsi="Arial" w:cs="Arial"/>
                <w:b/>
                <w:bCs/>
                <w:color w:val="000000"/>
                <w:sz w:val="22"/>
              </w:rPr>
            </w:pPr>
            <w:r w:rsidRPr="00216C30">
              <w:rPr>
                <w:rFonts w:ascii="Arial" w:hAnsi="Arial" w:cs="Arial"/>
                <w:b/>
                <w:bCs/>
                <w:color w:val="000000"/>
                <w:sz w:val="22"/>
              </w:rPr>
              <w:t xml:space="preserve">Fair </w:t>
            </w:r>
          </w:p>
          <w:p w14:paraId="104417DF" w14:textId="77777777" w:rsidR="00155AFE" w:rsidRPr="00216C30" w:rsidRDefault="00155AFE" w:rsidP="00155AFE">
            <w:pPr>
              <w:jc w:val="center"/>
              <w:rPr>
                <w:rFonts w:ascii="Arial" w:hAnsi="Arial" w:cs="Arial"/>
                <w:b/>
                <w:bCs/>
                <w:color w:val="000000"/>
                <w:sz w:val="22"/>
              </w:rPr>
            </w:pPr>
            <w:r w:rsidRPr="00216C30">
              <w:rPr>
                <w:rFonts w:ascii="Arial" w:hAnsi="Arial" w:cs="Arial"/>
                <w:b/>
                <w:bCs/>
                <w:color w:val="000000"/>
                <w:sz w:val="22"/>
              </w:rPr>
              <w:t>Value</w:t>
            </w:r>
          </w:p>
        </w:tc>
      </w:tr>
      <w:tr w:rsidR="00155AFE" w:rsidRPr="00424CC3" w14:paraId="5B6CD0BA" w14:textId="77777777" w:rsidTr="00D854A0">
        <w:trPr>
          <w:trHeight w:val="300"/>
        </w:trPr>
        <w:tc>
          <w:tcPr>
            <w:tcW w:w="5462" w:type="dxa"/>
            <w:tcBorders>
              <w:top w:val="nil"/>
              <w:left w:val="single" w:sz="8" w:space="0" w:color="auto"/>
              <w:bottom w:val="single" w:sz="8" w:space="0" w:color="auto"/>
              <w:right w:val="single" w:sz="4" w:space="0" w:color="auto"/>
            </w:tcBorders>
            <w:shd w:val="clear" w:color="auto" w:fill="auto"/>
            <w:vAlign w:val="center"/>
            <w:hideMark/>
          </w:tcPr>
          <w:p w14:paraId="06584700" w14:textId="77777777" w:rsidR="00155AFE" w:rsidRPr="00216C30" w:rsidRDefault="00155AFE" w:rsidP="00155AFE">
            <w:pPr>
              <w:rPr>
                <w:rFonts w:ascii="Arial" w:hAnsi="Arial" w:cs="Arial"/>
                <w:b/>
                <w:bCs/>
                <w:color w:val="000000"/>
                <w:sz w:val="22"/>
              </w:rPr>
            </w:pPr>
            <w:r w:rsidRPr="00216C30">
              <w:rPr>
                <w:rFonts w:ascii="Arial" w:hAnsi="Arial" w:cs="Arial"/>
                <w:bCs/>
                <w:color w:val="000000"/>
                <w:sz w:val="22"/>
              </w:rPr>
              <w:t>Co-ownership interest in originated Credit Card loans transferred to CCT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812D" w14:textId="0D8B4090" w:rsidR="00155AFE" w:rsidRPr="00216C30" w:rsidRDefault="009469ED" w:rsidP="00155AFE">
            <w:pPr>
              <w:jc w:val="right"/>
              <w:rPr>
                <w:rFonts w:ascii="Arial" w:hAnsi="Arial" w:cs="Arial"/>
                <w:color w:val="000000"/>
                <w:sz w:val="22"/>
              </w:rPr>
            </w:pPr>
            <w:r>
              <w:rPr>
                <w:rFonts w:ascii="Arial" w:hAnsi="Arial" w:cs="Arial"/>
                <w:color w:val="000000"/>
                <w:sz w:val="22"/>
              </w:rPr>
              <w:t>773,603</w:t>
            </w:r>
          </w:p>
        </w:tc>
        <w:tc>
          <w:tcPr>
            <w:tcW w:w="1606" w:type="dxa"/>
            <w:tcBorders>
              <w:top w:val="single" w:sz="4" w:space="0" w:color="auto"/>
              <w:left w:val="single" w:sz="4" w:space="0" w:color="auto"/>
              <w:bottom w:val="single" w:sz="4" w:space="0" w:color="auto"/>
              <w:right w:val="single" w:sz="4" w:space="0" w:color="auto"/>
            </w:tcBorders>
            <w:vAlign w:val="center"/>
          </w:tcPr>
          <w:p w14:paraId="72705B55" w14:textId="4B11D154" w:rsidR="00155AFE" w:rsidRPr="00216C30" w:rsidRDefault="009469ED" w:rsidP="00155AFE">
            <w:pPr>
              <w:jc w:val="right"/>
              <w:rPr>
                <w:rFonts w:ascii="Arial" w:hAnsi="Arial" w:cs="Arial"/>
                <w:color w:val="000000"/>
                <w:sz w:val="22"/>
              </w:rPr>
            </w:pPr>
            <w:r>
              <w:rPr>
                <w:rFonts w:ascii="Arial" w:hAnsi="Arial" w:cs="Arial"/>
                <w:color w:val="000000"/>
                <w:sz w:val="22"/>
              </w:rPr>
              <w:t>773,603</w:t>
            </w:r>
          </w:p>
        </w:tc>
      </w:tr>
      <w:tr w:rsidR="00155AFE" w:rsidRPr="00424CC3" w14:paraId="2DA3D7ED" w14:textId="77777777" w:rsidTr="00D854A0">
        <w:trPr>
          <w:trHeight w:val="310"/>
        </w:trPr>
        <w:tc>
          <w:tcPr>
            <w:tcW w:w="5462" w:type="dxa"/>
            <w:tcBorders>
              <w:top w:val="nil"/>
              <w:left w:val="single" w:sz="8" w:space="0" w:color="auto"/>
              <w:bottom w:val="single" w:sz="8" w:space="0" w:color="auto"/>
              <w:right w:val="single" w:sz="4" w:space="0" w:color="auto"/>
            </w:tcBorders>
            <w:shd w:val="clear" w:color="auto" w:fill="auto"/>
            <w:vAlign w:val="center"/>
            <w:hideMark/>
          </w:tcPr>
          <w:p w14:paraId="78904B5B" w14:textId="77777777" w:rsidR="00155AFE" w:rsidRPr="00216C30" w:rsidRDefault="00155AFE" w:rsidP="00155AFE">
            <w:pPr>
              <w:rPr>
                <w:rFonts w:ascii="Arial" w:hAnsi="Arial" w:cs="Arial"/>
                <w:bCs/>
                <w:color w:val="000000"/>
                <w:sz w:val="22"/>
              </w:rPr>
            </w:pPr>
            <w:r w:rsidRPr="00216C30">
              <w:rPr>
                <w:rFonts w:ascii="Arial" w:hAnsi="Arial" w:cs="Arial"/>
                <w:bCs/>
                <w:color w:val="000000"/>
                <w:sz w:val="22"/>
              </w:rPr>
              <w:t>Associated note liabilities</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CF74" w14:textId="42507193" w:rsidR="00155AFE" w:rsidRPr="00216C30" w:rsidRDefault="009469ED" w:rsidP="00155AFE">
            <w:pPr>
              <w:jc w:val="right"/>
              <w:rPr>
                <w:rFonts w:ascii="Arial" w:hAnsi="Arial" w:cs="Arial"/>
                <w:color w:val="000000"/>
                <w:sz w:val="22"/>
              </w:rPr>
            </w:pPr>
            <w:r>
              <w:rPr>
                <w:rFonts w:ascii="Arial" w:hAnsi="Arial" w:cs="Arial"/>
                <w:color w:val="000000"/>
                <w:sz w:val="22"/>
              </w:rPr>
              <w:t>773,603</w:t>
            </w:r>
          </w:p>
        </w:tc>
        <w:tc>
          <w:tcPr>
            <w:tcW w:w="1606" w:type="dxa"/>
            <w:tcBorders>
              <w:top w:val="single" w:sz="4" w:space="0" w:color="auto"/>
              <w:left w:val="single" w:sz="4" w:space="0" w:color="auto"/>
              <w:bottom w:val="single" w:sz="4" w:space="0" w:color="auto"/>
              <w:right w:val="single" w:sz="4" w:space="0" w:color="auto"/>
            </w:tcBorders>
            <w:vAlign w:val="center"/>
          </w:tcPr>
          <w:p w14:paraId="0ACE767A" w14:textId="671C996F" w:rsidR="00155AFE" w:rsidRPr="00216C30" w:rsidRDefault="009469ED" w:rsidP="00155AFE">
            <w:pPr>
              <w:jc w:val="right"/>
              <w:rPr>
                <w:rFonts w:ascii="Arial" w:hAnsi="Arial" w:cs="Arial"/>
                <w:color w:val="000000"/>
                <w:sz w:val="22"/>
              </w:rPr>
            </w:pPr>
            <w:r>
              <w:rPr>
                <w:rFonts w:ascii="Arial" w:hAnsi="Arial" w:cs="Arial"/>
                <w:color w:val="000000"/>
                <w:sz w:val="22"/>
              </w:rPr>
              <w:t>773,603</w:t>
            </w:r>
          </w:p>
        </w:tc>
      </w:tr>
    </w:tbl>
    <w:p w14:paraId="019F5C05" w14:textId="77777777" w:rsidR="00155AFE" w:rsidRPr="00216C30" w:rsidRDefault="00155AFE" w:rsidP="00155AFE">
      <w:pPr>
        <w:rPr>
          <w:rFonts w:ascii="Arial" w:hAnsi="Arial" w:cs="Arial"/>
          <w:b/>
        </w:rPr>
      </w:pPr>
    </w:p>
    <w:p w14:paraId="5999D2C7" w14:textId="251A971D" w:rsidR="00155AFE" w:rsidRPr="00216C30" w:rsidRDefault="00155AFE" w:rsidP="00155AFE">
      <w:pPr>
        <w:rPr>
          <w:rFonts w:ascii="Arial" w:hAnsi="Arial" w:cs="Arial"/>
        </w:rPr>
      </w:pPr>
      <w:r w:rsidRPr="00216C30">
        <w:rPr>
          <w:rFonts w:ascii="Arial" w:hAnsi="Arial" w:cs="Arial"/>
        </w:rPr>
        <w:t xml:space="preserve">CCT has issued </w:t>
      </w:r>
      <w:r w:rsidRPr="00216C30">
        <w:rPr>
          <w:rFonts w:ascii="Arial" w:hAnsi="Arial" w:cs="Arial"/>
          <w:b/>
        </w:rPr>
        <w:t>1</w:t>
      </w:r>
      <w:r w:rsidRPr="00216C30">
        <w:rPr>
          <w:rFonts w:ascii="Arial" w:hAnsi="Arial" w:cs="Arial"/>
        </w:rPr>
        <w:t xml:space="preserve"> series of Notes since the creation of the vehicle in April 2019. The investors in the notes are external parties and are not related to the Bank. The notes issued have the following terms and carrying value at </w:t>
      </w:r>
      <w:r w:rsidR="009469ED">
        <w:rPr>
          <w:rFonts w:ascii="Arial" w:hAnsi="Arial" w:cs="Arial"/>
        </w:rPr>
        <w:t>December 31</w:t>
      </w:r>
      <w:r w:rsidRPr="00216C30">
        <w:rPr>
          <w:rFonts w:ascii="Arial" w:hAnsi="Arial" w:cs="Arial"/>
        </w:rPr>
        <w:t>, 2019:</w:t>
      </w:r>
    </w:p>
    <w:p w14:paraId="7D380783" w14:textId="77777777" w:rsidR="00D854A0" w:rsidRPr="00216C30" w:rsidRDefault="00D854A0" w:rsidP="00155AFE">
      <w:pPr>
        <w:rPr>
          <w:rFonts w:ascii="Arial" w:hAnsi="Arial" w:cs="Arial"/>
        </w:rPr>
      </w:pPr>
    </w:p>
    <w:tbl>
      <w:tblPr>
        <w:tblW w:w="8730" w:type="dxa"/>
        <w:tblInd w:w="108" w:type="dxa"/>
        <w:tblLook w:val="04A0" w:firstRow="1" w:lastRow="0" w:firstColumn="1" w:lastColumn="0" w:noHBand="0" w:noVBand="1"/>
      </w:tblPr>
      <w:tblGrid>
        <w:gridCol w:w="1890"/>
        <w:gridCol w:w="697"/>
        <w:gridCol w:w="1014"/>
        <w:gridCol w:w="675"/>
        <w:gridCol w:w="1052"/>
        <w:gridCol w:w="947"/>
        <w:gridCol w:w="1443"/>
        <w:gridCol w:w="1012"/>
      </w:tblGrid>
      <w:tr w:rsidR="00155AFE" w:rsidRPr="00424CC3" w14:paraId="2C7CA975" w14:textId="77777777" w:rsidTr="004F26E6">
        <w:trPr>
          <w:trHeight w:val="300"/>
        </w:trPr>
        <w:tc>
          <w:tcPr>
            <w:tcW w:w="1890" w:type="dxa"/>
            <w:tcBorders>
              <w:top w:val="single" w:sz="4" w:space="0" w:color="auto"/>
              <w:left w:val="single" w:sz="4" w:space="0" w:color="auto"/>
              <w:bottom w:val="single" w:sz="8" w:space="0" w:color="auto"/>
              <w:right w:val="nil"/>
            </w:tcBorders>
            <w:shd w:val="clear" w:color="auto" w:fill="auto"/>
            <w:noWrap/>
            <w:vAlign w:val="center"/>
            <w:hideMark/>
          </w:tcPr>
          <w:p w14:paraId="6985357B" w14:textId="77777777" w:rsidR="00155AFE" w:rsidRPr="00216C30" w:rsidRDefault="00155AFE" w:rsidP="00D854A0">
            <w:pPr>
              <w:rPr>
                <w:rFonts w:ascii="Arial" w:hAnsi="Arial" w:cs="Arial"/>
                <w:b/>
                <w:bCs/>
                <w:color w:val="000000"/>
                <w:sz w:val="22"/>
              </w:rPr>
            </w:pPr>
            <w:r w:rsidRPr="00216C30">
              <w:rPr>
                <w:rFonts w:ascii="Arial" w:hAnsi="Arial" w:cs="Arial"/>
                <w:b/>
                <w:bCs/>
                <w:color w:val="000000"/>
                <w:sz w:val="22"/>
              </w:rPr>
              <w:t xml:space="preserve">Notes in </w:t>
            </w:r>
            <w:r w:rsidR="004F26E6" w:rsidRPr="00216C30">
              <w:rPr>
                <w:rFonts w:ascii="Arial" w:hAnsi="Arial" w:cs="Arial"/>
                <w:b/>
                <w:bCs/>
                <w:color w:val="000000"/>
                <w:sz w:val="22"/>
              </w:rPr>
              <w:t>I</w:t>
            </w:r>
            <w:r w:rsidRPr="00216C30">
              <w:rPr>
                <w:rFonts w:ascii="Arial" w:hAnsi="Arial" w:cs="Arial"/>
                <w:b/>
                <w:bCs/>
                <w:color w:val="000000"/>
                <w:sz w:val="22"/>
              </w:rPr>
              <w:t>ssue</w:t>
            </w:r>
          </w:p>
        </w:tc>
        <w:tc>
          <w:tcPr>
            <w:tcW w:w="1783" w:type="dxa"/>
            <w:gridSpan w:val="2"/>
            <w:tcBorders>
              <w:top w:val="single" w:sz="4" w:space="0" w:color="auto"/>
              <w:left w:val="nil"/>
              <w:bottom w:val="single" w:sz="8" w:space="0" w:color="auto"/>
              <w:right w:val="nil"/>
            </w:tcBorders>
            <w:vAlign w:val="center"/>
          </w:tcPr>
          <w:p w14:paraId="3661AA7E" w14:textId="77777777" w:rsidR="00155AFE" w:rsidRPr="00216C30" w:rsidRDefault="00155AFE" w:rsidP="00D854A0">
            <w:pPr>
              <w:jc w:val="left"/>
              <w:rPr>
                <w:rFonts w:ascii="Arial" w:hAnsi="Arial" w:cs="Arial"/>
                <w:b/>
                <w:bCs/>
                <w:color w:val="000000"/>
                <w:sz w:val="22"/>
              </w:rPr>
            </w:pPr>
            <w:r w:rsidRPr="00216C30">
              <w:rPr>
                <w:rFonts w:ascii="Arial" w:hAnsi="Arial" w:cs="Arial"/>
                <w:b/>
                <w:bCs/>
                <w:color w:val="000000"/>
                <w:sz w:val="22"/>
              </w:rPr>
              <w:t>Issuance Date</w:t>
            </w:r>
          </w:p>
        </w:tc>
        <w:tc>
          <w:tcPr>
            <w:tcW w:w="1727" w:type="dxa"/>
            <w:gridSpan w:val="2"/>
            <w:tcBorders>
              <w:top w:val="single" w:sz="4" w:space="0" w:color="auto"/>
              <w:left w:val="nil"/>
              <w:bottom w:val="single" w:sz="8" w:space="0" w:color="auto"/>
              <w:right w:val="nil"/>
            </w:tcBorders>
            <w:shd w:val="clear" w:color="auto" w:fill="auto"/>
            <w:noWrap/>
            <w:vAlign w:val="center"/>
            <w:hideMark/>
          </w:tcPr>
          <w:p w14:paraId="5BD67272" w14:textId="77777777" w:rsidR="00155AFE" w:rsidRPr="00216C30" w:rsidRDefault="00155AFE" w:rsidP="00D854A0">
            <w:pPr>
              <w:jc w:val="left"/>
              <w:rPr>
                <w:rFonts w:ascii="Arial" w:hAnsi="Arial" w:cs="Arial"/>
                <w:b/>
                <w:bCs/>
                <w:color w:val="000000"/>
                <w:sz w:val="22"/>
              </w:rPr>
            </w:pPr>
            <w:r w:rsidRPr="00216C30">
              <w:rPr>
                <w:rFonts w:ascii="Arial" w:hAnsi="Arial" w:cs="Arial"/>
                <w:b/>
                <w:bCs/>
                <w:color w:val="000000"/>
                <w:sz w:val="22"/>
              </w:rPr>
              <w:t>Maturity date</w:t>
            </w:r>
          </w:p>
        </w:tc>
        <w:tc>
          <w:tcPr>
            <w:tcW w:w="2390" w:type="dxa"/>
            <w:gridSpan w:val="2"/>
            <w:tcBorders>
              <w:top w:val="single" w:sz="4" w:space="0" w:color="auto"/>
              <w:left w:val="nil"/>
              <w:bottom w:val="single" w:sz="8" w:space="0" w:color="auto"/>
              <w:right w:val="nil"/>
            </w:tcBorders>
            <w:shd w:val="clear" w:color="auto" w:fill="auto"/>
            <w:noWrap/>
            <w:vAlign w:val="center"/>
            <w:hideMark/>
          </w:tcPr>
          <w:p w14:paraId="4CF174FA" w14:textId="77777777" w:rsidR="00155AFE" w:rsidRPr="00216C30" w:rsidRDefault="00155AFE" w:rsidP="00D854A0">
            <w:pPr>
              <w:jc w:val="left"/>
              <w:rPr>
                <w:rFonts w:ascii="Arial" w:hAnsi="Arial" w:cs="Arial"/>
                <w:b/>
                <w:bCs/>
                <w:color w:val="000000"/>
                <w:sz w:val="22"/>
              </w:rPr>
            </w:pPr>
            <w:r w:rsidRPr="00216C30">
              <w:rPr>
                <w:rFonts w:ascii="Arial" w:hAnsi="Arial" w:cs="Arial"/>
                <w:b/>
                <w:bCs/>
                <w:color w:val="000000"/>
                <w:sz w:val="22"/>
              </w:rPr>
              <w:t>Coupon Rate</w:t>
            </w:r>
          </w:p>
        </w:tc>
        <w:tc>
          <w:tcPr>
            <w:tcW w:w="940" w:type="dxa"/>
            <w:tcBorders>
              <w:top w:val="single" w:sz="4" w:space="0" w:color="auto"/>
              <w:left w:val="nil"/>
              <w:bottom w:val="single" w:sz="8" w:space="0" w:color="auto"/>
              <w:right w:val="single" w:sz="4" w:space="0" w:color="auto"/>
            </w:tcBorders>
            <w:shd w:val="clear" w:color="auto" w:fill="auto"/>
            <w:noWrap/>
            <w:vAlign w:val="center"/>
            <w:hideMark/>
          </w:tcPr>
          <w:p w14:paraId="6621746F" w14:textId="77777777" w:rsidR="00155AFE" w:rsidRPr="00216C30" w:rsidRDefault="00155AFE" w:rsidP="00D854A0">
            <w:pPr>
              <w:jc w:val="left"/>
              <w:rPr>
                <w:rFonts w:ascii="Arial" w:hAnsi="Arial" w:cs="Arial"/>
                <w:b/>
                <w:bCs/>
                <w:color w:val="000000"/>
                <w:sz w:val="22"/>
              </w:rPr>
            </w:pPr>
            <w:r w:rsidRPr="00216C30">
              <w:rPr>
                <w:rFonts w:ascii="Arial" w:hAnsi="Arial" w:cs="Arial"/>
                <w:b/>
                <w:bCs/>
                <w:color w:val="000000"/>
                <w:sz w:val="22"/>
              </w:rPr>
              <w:t>2019</w:t>
            </w:r>
          </w:p>
        </w:tc>
      </w:tr>
      <w:tr w:rsidR="00155AFE" w:rsidRPr="00424CC3" w14:paraId="13B91B9D" w14:textId="77777777" w:rsidTr="004F26E6">
        <w:trPr>
          <w:trHeight w:val="52"/>
        </w:trPr>
        <w:tc>
          <w:tcPr>
            <w:tcW w:w="2587" w:type="dxa"/>
            <w:gridSpan w:val="2"/>
            <w:tcBorders>
              <w:top w:val="nil"/>
              <w:left w:val="single" w:sz="4" w:space="0" w:color="auto"/>
              <w:bottom w:val="nil"/>
              <w:right w:val="nil"/>
            </w:tcBorders>
            <w:shd w:val="clear" w:color="auto" w:fill="auto"/>
            <w:noWrap/>
            <w:vAlign w:val="bottom"/>
            <w:hideMark/>
          </w:tcPr>
          <w:p w14:paraId="457DACE5" w14:textId="77777777" w:rsidR="00155AFE" w:rsidRPr="00216C30" w:rsidRDefault="00155AFE" w:rsidP="00D854A0">
            <w:pPr>
              <w:jc w:val="right"/>
              <w:rPr>
                <w:rFonts w:ascii="Arial" w:hAnsi="Arial" w:cs="Arial"/>
                <w:b/>
                <w:bCs/>
                <w:color w:val="000000"/>
                <w:sz w:val="22"/>
              </w:rPr>
            </w:pPr>
          </w:p>
        </w:tc>
        <w:tc>
          <w:tcPr>
            <w:tcW w:w="1761" w:type="dxa"/>
            <w:gridSpan w:val="2"/>
            <w:tcBorders>
              <w:top w:val="nil"/>
              <w:left w:val="nil"/>
              <w:bottom w:val="nil"/>
              <w:right w:val="nil"/>
            </w:tcBorders>
          </w:tcPr>
          <w:p w14:paraId="015E9A4C" w14:textId="77777777" w:rsidR="00155AFE" w:rsidRPr="00216C30" w:rsidRDefault="00155AFE" w:rsidP="00D854A0">
            <w:pPr>
              <w:rPr>
                <w:rFonts w:ascii="Arial" w:hAnsi="Arial" w:cs="Arial"/>
                <w:sz w:val="22"/>
                <w:szCs w:val="20"/>
              </w:rPr>
            </w:pPr>
          </w:p>
        </w:tc>
        <w:tc>
          <w:tcPr>
            <w:tcW w:w="1999" w:type="dxa"/>
            <w:gridSpan w:val="2"/>
            <w:tcBorders>
              <w:top w:val="nil"/>
              <w:left w:val="nil"/>
              <w:bottom w:val="nil"/>
              <w:right w:val="nil"/>
            </w:tcBorders>
            <w:shd w:val="clear" w:color="auto" w:fill="auto"/>
            <w:noWrap/>
            <w:vAlign w:val="bottom"/>
            <w:hideMark/>
          </w:tcPr>
          <w:p w14:paraId="25520591" w14:textId="77777777" w:rsidR="00155AFE" w:rsidRPr="00216C30" w:rsidRDefault="00155AFE" w:rsidP="00D854A0">
            <w:pPr>
              <w:rPr>
                <w:rFonts w:ascii="Arial" w:hAnsi="Arial" w:cs="Arial"/>
                <w:sz w:val="22"/>
                <w:szCs w:val="20"/>
              </w:rPr>
            </w:pPr>
          </w:p>
        </w:tc>
        <w:tc>
          <w:tcPr>
            <w:tcW w:w="1443" w:type="dxa"/>
            <w:tcBorders>
              <w:top w:val="nil"/>
              <w:left w:val="nil"/>
              <w:bottom w:val="nil"/>
              <w:right w:val="nil"/>
            </w:tcBorders>
            <w:shd w:val="clear" w:color="auto" w:fill="auto"/>
            <w:noWrap/>
            <w:vAlign w:val="bottom"/>
            <w:hideMark/>
          </w:tcPr>
          <w:p w14:paraId="56AC48BE" w14:textId="77777777" w:rsidR="00155AFE" w:rsidRPr="00216C30" w:rsidRDefault="00155AFE" w:rsidP="00D854A0">
            <w:pPr>
              <w:rPr>
                <w:rFonts w:ascii="Arial" w:hAnsi="Arial" w:cs="Arial"/>
                <w:sz w:val="22"/>
                <w:szCs w:val="20"/>
              </w:rPr>
            </w:pPr>
          </w:p>
        </w:tc>
        <w:tc>
          <w:tcPr>
            <w:tcW w:w="940" w:type="dxa"/>
            <w:tcBorders>
              <w:top w:val="nil"/>
              <w:left w:val="nil"/>
              <w:bottom w:val="nil"/>
              <w:right w:val="single" w:sz="4" w:space="0" w:color="auto"/>
            </w:tcBorders>
            <w:shd w:val="clear" w:color="auto" w:fill="auto"/>
            <w:noWrap/>
            <w:vAlign w:val="bottom"/>
            <w:hideMark/>
          </w:tcPr>
          <w:p w14:paraId="2A6F87CA" w14:textId="77777777" w:rsidR="00155AFE" w:rsidRPr="00216C30" w:rsidRDefault="00155AFE" w:rsidP="00D854A0">
            <w:pPr>
              <w:rPr>
                <w:rFonts w:ascii="Arial" w:hAnsi="Arial" w:cs="Arial"/>
                <w:sz w:val="22"/>
                <w:szCs w:val="20"/>
              </w:rPr>
            </w:pPr>
          </w:p>
        </w:tc>
      </w:tr>
      <w:tr w:rsidR="00155AFE" w:rsidRPr="00424CC3" w14:paraId="260519B2" w14:textId="77777777" w:rsidTr="004F26E6">
        <w:trPr>
          <w:trHeight w:val="290"/>
        </w:trPr>
        <w:tc>
          <w:tcPr>
            <w:tcW w:w="2587" w:type="dxa"/>
            <w:gridSpan w:val="2"/>
            <w:tcBorders>
              <w:top w:val="nil"/>
              <w:left w:val="single" w:sz="4" w:space="0" w:color="auto"/>
              <w:bottom w:val="nil"/>
              <w:right w:val="nil"/>
            </w:tcBorders>
            <w:shd w:val="clear" w:color="auto" w:fill="auto"/>
            <w:noWrap/>
            <w:vAlign w:val="bottom"/>
            <w:hideMark/>
          </w:tcPr>
          <w:p w14:paraId="3F651799" w14:textId="77777777" w:rsidR="00155AFE" w:rsidRPr="00216C30" w:rsidRDefault="00155AFE" w:rsidP="00D854A0">
            <w:pPr>
              <w:rPr>
                <w:rFonts w:ascii="Arial" w:hAnsi="Arial" w:cs="Arial"/>
                <w:b/>
                <w:bCs/>
                <w:color w:val="000000"/>
                <w:sz w:val="22"/>
              </w:rPr>
            </w:pPr>
            <w:r w:rsidRPr="00216C30">
              <w:rPr>
                <w:rFonts w:ascii="Arial" w:hAnsi="Arial" w:cs="Arial"/>
                <w:b/>
                <w:bCs/>
                <w:color w:val="000000"/>
                <w:sz w:val="22"/>
              </w:rPr>
              <w:t xml:space="preserve">Senior notes </w:t>
            </w:r>
          </w:p>
        </w:tc>
        <w:tc>
          <w:tcPr>
            <w:tcW w:w="1761" w:type="dxa"/>
            <w:gridSpan w:val="2"/>
            <w:tcBorders>
              <w:top w:val="nil"/>
              <w:left w:val="nil"/>
              <w:bottom w:val="nil"/>
              <w:right w:val="nil"/>
            </w:tcBorders>
          </w:tcPr>
          <w:p w14:paraId="24471FF3" w14:textId="77777777" w:rsidR="00155AFE" w:rsidRPr="00216C30" w:rsidRDefault="00155AFE" w:rsidP="00D854A0">
            <w:pPr>
              <w:rPr>
                <w:rFonts w:ascii="Arial" w:hAnsi="Arial" w:cs="Arial"/>
                <w:sz w:val="22"/>
                <w:szCs w:val="20"/>
              </w:rPr>
            </w:pPr>
          </w:p>
        </w:tc>
        <w:tc>
          <w:tcPr>
            <w:tcW w:w="1999" w:type="dxa"/>
            <w:gridSpan w:val="2"/>
            <w:tcBorders>
              <w:top w:val="nil"/>
              <w:left w:val="nil"/>
              <w:bottom w:val="nil"/>
              <w:right w:val="nil"/>
            </w:tcBorders>
            <w:shd w:val="clear" w:color="auto" w:fill="auto"/>
            <w:noWrap/>
            <w:vAlign w:val="bottom"/>
            <w:hideMark/>
          </w:tcPr>
          <w:p w14:paraId="57A17F2C" w14:textId="77777777" w:rsidR="00155AFE" w:rsidRPr="00216C30" w:rsidRDefault="00155AFE" w:rsidP="00D854A0">
            <w:pPr>
              <w:rPr>
                <w:rFonts w:ascii="Arial" w:hAnsi="Arial" w:cs="Arial"/>
                <w:sz w:val="22"/>
                <w:szCs w:val="20"/>
              </w:rPr>
            </w:pPr>
          </w:p>
        </w:tc>
        <w:tc>
          <w:tcPr>
            <w:tcW w:w="1443" w:type="dxa"/>
            <w:tcBorders>
              <w:top w:val="nil"/>
              <w:left w:val="nil"/>
              <w:bottom w:val="nil"/>
              <w:right w:val="nil"/>
            </w:tcBorders>
            <w:shd w:val="clear" w:color="auto" w:fill="auto"/>
            <w:noWrap/>
            <w:vAlign w:val="bottom"/>
            <w:hideMark/>
          </w:tcPr>
          <w:p w14:paraId="6998A947" w14:textId="77777777" w:rsidR="00155AFE" w:rsidRPr="00216C30" w:rsidRDefault="00155AFE" w:rsidP="00D854A0">
            <w:pPr>
              <w:rPr>
                <w:rFonts w:ascii="Arial" w:hAnsi="Arial" w:cs="Arial"/>
                <w:sz w:val="22"/>
                <w:szCs w:val="20"/>
              </w:rPr>
            </w:pPr>
          </w:p>
        </w:tc>
        <w:tc>
          <w:tcPr>
            <w:tcW w:w="940" w:type="dxa"/>
            <w:tcBorders>
              <w:top w:val="nil"/>
              <w:left w:val="nil"/>
              <w:bottom w:val="nil"/>
              <w:right w:val="single" w:sz="4" w:space="0" w:color="auto"/>
            </w:tcBorders>
            <w:shd w:val="clear" w:color="auto" w:fill="auto"/>
            <w:noWrap/>
            <w:vAlign w:val="bottom"/>
            <w:hideMark/>
          </w:tcPr>
          <w:p w14:paraId="20A2F105" w14:textId="77777777" w:rsidR="00155AFE" w:rsidRPr="00216C30" w:rsidRDefault="00155AFE" w:rsidP="00D854A0">
            <w:pPr>
              <w:rPr>
                <w:rFonts w:ascii="Arial" w:hAnsi="Arial" w:cs="Arial"/>
                <w:sz w:val="22"/>
                <w:szCs w:val="20"/>
              </w:rPr>
            </w:pPr>
          </w:p>
        </w:tc>
      </w:tr>
      <w:tr w:rsidR="00155AFE" w:rsidRPr="00424CC3" w14:paraId="59FE73EE" w14:textId="77777777" w:rsidTr="00B7293E">
        <w:trPr>
          <w:trHeight w:val="290"/>
        </w:trPr>
        <w:tc>
          <w:tcPr>
            <w:tcW w:w="1890" w:type="dxa"/>
            <w:tcBorders>
              <w:top w:val="nil"/>
              <w:left w:val="single" w:sz="4" w:space="0" w:color="auto"/>
              <w:bottom w:val="single" w:sz="4" w:space="0" w:color="auto"/>
              <w:right w:val="nil"/>
            </w:tcBorders>
            <w:shd w:val="clear" w:color="auto" w:fill="auto"/>
            <w:noWrap/>
            <w:vAlign w:val="center"/>
            <w:hideMark/>
          </w:tcPr>
          <w:p w14:paraId="2CB78314" w14:textId="77777777" w:rsidR="00155AFE" w:rsidRPr="00216C30" w:rsidRDefault="00155AFE" w:rsidP="00B7293E">
            <w:pPr>
              <w:jc w:val="left"/>
              <w:rPr>
                <w:rFonts w:ascii="Arial" w:hAnsi="Arial" w:cs="Arial"/>
                <w:color w:val="000000"/>
                <w:sz w:val="22"/>
              </w:rPr>
            </w:pPr>
            <w:r w:rsidRPr="00216C30">
              <w:rPr>
                <w:rFonts w:ascii="Arial" w:hAnsi="Arial" w:cs="Arial"/>
                <w:color w:val="000000"/>
                <w:sz w:val="22"/>
              </w:rPr>
              <w:t xml:space="preserve">Series 2019-1 </w:t>
            </w:r>
          </w:p>
        </w:tc>
        <w:tc>
          <w:tcPr>
            <w:tcW w:w="1783" w:type="dxa"/>
            <w:gridSpan w:val="2"/>
            <w:tcBorders>
              <w:top w:val="nil"/>
              <w:left w:val="nil"/>
              <w:bottom w:val="single" w:sz="4" w:space="0" w:color="auto"/>
              <w:right w:val="nil"/>
            </w:tcBorders>
            <w:vAlign w:val="center"/>
          </w:tcPr>
          <w:p w14:paraId="172C5FB3" w14:textId="77777777" w:rsidR="00155AFE" w:rsidRPr="00216C30" w:rsidRDefault="00155AFE" w:rsidP="004F26E6">
            <w:pPr>
              <w:jc w:val="left"/>
              <w:rPr>
                <w:rFonts w:ascii="Arial" w:hAnsi="Arial" w:cs="Arial"/>
                <w:sz w:val="22"/>
                <w:szCs w:val="20"/>
              </w:rPr>
            </w:pPr>
            <w:r w:rsidRPr="00216C30">
              <w:rPr>
                <w:rFonts w:ascii="Arial" w:hAnsi="Arial" w:cs="Arial"/>
                <w:sz w:val="22"/>
                <w:szCs w:val="20"/>
              </w:rPr>
              <w:t>April 1, 2019</w:t>
            </w:r>
          </w:p>
        </w:tc>
        <w:tc>
          <w:tcPr>
            <w:tcW w:w="1727" w:type="dxa"/>
            <w:gridSpan w:val="2"/>
            <w:tcBorders>
              <w:top w:val="nil"/>
              <w:left w:val="nil"/>
              <w:bottom w:val="single" w:sz="4" w:space="0" w:color="auto"/>
              <w:right w:val="nil"/>
            </w:tcBorders>
            <w:shd w:val="clear" w:color="auto" w:fill="auto"/>
            <w:noWrap/>
            <w:vAlign w:val="center"/>
            <w:hideMark/>
          </w:tcPr>
          <w:p w14:paraId="1C6009CE" w14:textId="77777777" w:rsidR="00155AFE" w:rsidRPr="00216C30" w:rsidRDefault="00155AFE" w:rsidP="004F26E6">
            <w:pPr>
              <w:jc w:val="left"/>
              <w:rPr>
                <w:rFonts w:ascii="Arial" w:hAnsi="Arial" w:cs="Arial"/>
                <w:sz w:val="22"/>
                <w:szCs w:val="20"/>
              </w:rPr>
            </w:pPr>
            <w:r w:rsidRPr="00216C30">
              <w:rPr>
                <w:rFonts w:ascii="Arial" w:hAnsi="Arial" w:cs="Arial"/>
                <w:sz w:val="22"/>
                <w:szCs w:val="20"/>
              </w:rPr>
              <w:t>April 2022</w:t>
            </w:r>
          </w:p>
        </w:tc>
        <w:tc>
          <w:tcPr>
            <w:tcW w:w="2390" w:type="dxa"/>
            <w:gridSpan w:val="2"/>
            <w:tcBorders>
              <w:top w:val="nil"/>
              <w:left w:val="nil"/>
              <w:bottom w:val="single" w:sz="4" w:space="0" w:color="auto"/>
              <w:right w:val="nil"/>
            </w:tcBorders>
            <w:shd w:val="clear" w:color="auto" w:fill="auto"/>
            <w:noWrap/>
            <w:vAlign w:val="center"/>
            <w:hideMark/>
          </w:tcPr>
          <w:p w14:paraId="2B64EB05" w14:textId="77777777" w:rsidR="00155AFE" w:rsidRPr="00216C30" w:rsidRDefault="00155AFE" w:rsidP="004F26E6">
            <w:pPr>
              <w:jc w:val="left"/>
              <w:rPr>
                <w:rFonts w:ascii="Arial" w:hAnsi="Arial" w:cs="Arial"/>
                <w:sz w:val="22"/>
                <w:szCs w:val="20"/>
              </w:rPr>
            </w:pPr>
            <w:r w:rsidRPr="00216C30">
              <w:rPr>
                <w:rFonts w:ascii="Arial" w:hAnsi="Arial" w:cs="Arial"/>
                <w:sz w:val="22"/>
                <w:szCs w:val="20"/>
              </w:rPr>
              <w:t xml:space="preserve">3M CDOR plus spread </w:t>
            </w:r>
          </w:p>
        </w:tc>
        <w:tc>
          <w:tcPr>
            <w:tcW w:w="940" w:type="dxa"/>
            <w:tcBorders>
              <w:top w:val="nil"/>
              <w:left w:val="nil"/>
              <w:bottom w:val="single" w:sz="4" w:space="0" w:color="auto"/>
              <w:right w:val="single" w:sz="4" w:space="0" w:color="auto"/>
            </w:tcBorders>
            <w:shd w:val="clear" w:color="auto" w:fill="auto"/>
            <w:noWrap/>
            <w:vAlign w:val="center"/>
            <w:hideMark/>
          </w:tcPr>
          <w:p w14:paraId="5998E7B8" w14:textId="145FC776" w:rsidR="00155AFE" w:rsidRPr="00216C30" w:rsidRDefault="009469ED" w:rsidP="004F26E6">
            <w:pPr>
              <w:jc w:val="left"/>
              <w:rPr>
                <w:rFonts w:ascii="Arial" w:hAnsi="Arial" w:cs="Arial"/>
                <w:sz w:val="22"/>
                <w:szCs w:val="20"/>
              </w:rPr>
            </w:pPr>
            <w:r>
              <w:rPr>
                <w:rFonts w:ascii="Arial" w:hAnsi="Arial" w:cs="Arial"/>
                <w:color w:val="000000"/>
                <w:sz w:val="22"/>
              </w:rPr>
              <w:t>773,603</w:t>
            </w:r>
          </w:p>
        </w:tc>
      </w:tr>
    </w:tbl>
    <w:p w14:paraId="11B2557E" w14:textId="77777777" w:rsidR="00155AFE" w:rsidRPr="00216C30" w:rsidRDefault="00155AFE" w:rsidP="00155AFE">
      <w:pPr>
        <w:rPr>
          <w:rFonts w:ascii="Arial" w:hAnsi="Arial" w:cs="Arial"/>
        </w:rPr>
      </w:pPr>
      <w:r w:rsidRPr="00216C30">
        <w:rPr>
          <w:rFonts w:ascii="Arial" w:hAnsi="Arial" w:cs="Arial"/>
        </w:rPr>
        <w:t xml:space="preserve"> </w:t>
      </w:r>
    </w:p>
    <w:p w14:paraId="0186890F" w14:textId="77777777" w:rsidR="00155AFE" w:rsidRPr="00216C30" w:rsidRDefault="00155AFE" w:rsidP="00155AFE">
      <w:pPr>
        <w:rPr>
          <w:rFonts w:ascii="Arial" w:hAnsi="Arial" w:cs="Arial"/>
        </w:rPr>
      </w:pPr>
      <w:r w:rsidRPr="00216C30">
        <w:rPr>
          <w:rFonts w:ascii="Arial" w:hAnsi="Arial" w:cs="Arial"/>
        </w:rPr>
        <w:lastRenderedPageBreak/>
        <w:t>The Notes are structured as a revolving facility with a committed amount of $1 billion and had an initial advance on issuance of $879 million. The Bank may draw upon or pay down the Notes during the term and the facility terminates at the earlier of the date that the Notes are repaid by the Bank or upon repayment commencing no later than April 2022.</w:t>
      </w:r>
    </w:p>
    <w:p w14:paraId="2144C677" w14:textId="77777777" w:rsidR="004F26E6" w:rsidRPr="00216C30" w:rsidRDefault="004F26E6" w:rsidP="00155AFE">
      <w:pPr>
        <w:rPr>
          <w:rFonts w:ascii="Arial" w:hAnsi="Arial" w:cs="Arial"/>
        </w:rPr>
      </w:pPr>
    </w:p>
    <w:p w14:paraId="667E77AE" w14:textId="77777777" w:rsidR="00404680" w:rsidRDefault="00155AFE" w:rsidP="00404680">
      <w:pPr>
        <w:rPr>
          <w:rFonts w:ascii="Arial" w:hAnsi="Arial" w:cs="Arial"/>
        </w:rPr>
      </w:pPr>
      <w:bookmarkStart w:id="23" w:name="_Hlk17960813"/>
      <w:r w:rsidRPr="00216C30">
        <w:rPr>
          <w:rFonts w:ascii="Arial" w:hAnsi="Arial" w:cs="Arial"/>
        </w:rPr>
        <w:t>The interest rate on the Notes is based on 3M CDOR plus a spread. The spread is based on the level of overcollateralization and the specified period during the term of the Notes.</w:t>
      </w:r>
      <w:bookmarkEnd w:id="23"/>
    </w:p>
    <w:p w14:paraId="1CC23940" w14:textId="77777777" w:rsidR="00404680" w:rsidRDefault="00404680" w:rsidP="00F0411C">
      <w:pPr>
        <w:pStyle w:val="Heading1"/>
        <w:tabs>
          <w:tab w:val="left" w:pos="90"/>
        </w:tabs>
        <w:ind w:left="90" w:hanging="90"/>
        <w:rPr>
          <w:rFonts w:ascii="Arial" w:hAnsi="Arial" w:cs="Arial"/>
        </w:rPr>
      </w:pPr>
    </w:p>
    <w:p w14:paraId="621AFEC0" w14:textId="77777777" w:rsidR="00404680" w:rsidRDefault="00404680" w:rsidP="00F0411C">
      <w:pPr>
        <w:pStyle w:val="Heading1"/>
        <w:tabs>
          <w:tab w:val="left" w:pos="90"/>
        </w:tabs>
        <w:ind w:left="90" w:hanging="90"/>
        <w:rPr>
          <w:rFonts w:ascii="Arial" w:hAnsi="Arial" w:cs="Arial"/>
        </w:rPr>
      </w:pPr>
    </w:p>
    <w:p w14:paraId="40ABF5EC" w14:textId="77777777" w:rsidR="00404680" w:rsidRDefault="00404680" w:rsidP="00F0411C">
      <w:pPr>
        <w:pStyle w:val="Heading1"/>
        <w:tabs>
          <w:tab w:val="left" w:pos="90"/>
        </w:tabs>
        <w:ind w:left="90" w:hanging="90"/>
        <w:rPr>
          <w:rFonts w:ascii="Arial" w:hAnsi="Arial" w:cs="Arial"/>
        </w:rPr>
      </w:pPr>
    </w:p>
    <w:p w14:paraId="20064756" w14:textId="77777777" w:rsidR="00404680" w:rsidRDefault="00404680" w:rsidP="00404680">
      <w:pPr>
        <w:pStyle w:val="Heading1"/>
        <w:tabs>
          <w:tab w:val="left" w:pos="90"/>
        </w:tabs>
        <w:ind w:left="0" w:firstLine="0"/>
        <w:rPr>
          <w:rFonts w:ascii="Arial" w:hAnsi="Arial" w:cs="Arial"/>
        </w:rPr>
      </w:pPr>
    </w:p>
    <w:p w14:paraId="2BEB7799" w14:textId="77777777" w:rsidR="00404680" w:rsidRPr="00404680" w:rsidRDefault="00404680" w:rsidP="00404680">
      <w:pPr>
        <w:rPr>
          <w:lang w:val="en-US" w:eastAsia="en-US"/>
        </w:rPr>
      </w:pPr>
    </w:p>
    <w:p w14:paraId="0357FBC2" w14:textId="77777777" w:rsidR="00404680" w:rsidRDefault="00404680" w:rsidP="00F0411C">
      <w:pPr>
        <w:pStyle w:val="Heading1"/>
        <w:tabs>
          <w:tab w:val="left" w:pos="90"/>
        </w:tabs>
        <w:ind w:left="90" w:hanging="90"/>
        <w:rPr>
          <w:rFonts w:ascii="Arial" w:hAnsi="Arial" w:cs="Arial"/>
        </w:rPr>
      </w:pPr>
    </w:p>
    <w:p w14:paraId="6161E66A" w14:textId="77777777" w:rsidR="00404680" w:rsidRDefault="00404680" w:rsidP="00F0411C">
      <w:pPr>
        <w:pStyle w:val="Heading1"/>
        <w:tabs>
          <w:tab w:val="left" w:pos="90"/>
        </w:tabs>
        <w:ind w:left="90" w:hanging="90"/>
        <w:rPr>
          <w:rFonts w:ascii="Arial" w:hAnsi="Arial" w:cs="Arial"/>
        </w:rPr>
      </w:pPr>
    </w:p>
    <w:p w14:paraId="03D15F68" w14:textId="77777777" w:rsidR="00404680" w:rsidRDefault="00404680" w:rsidP="00F0411C">
      <w:pPr>
        <w:pStyle w:val="Heading1"/>
        <w:tabs>
          <w:tab w:val="left" w:pos="90"/>
        </w:tabs>
        <w:ind w:left="90" w:hanging="90"/>
        <w:rPr>
          <w:rFonts w:ascii="Arial" w:hAnsi="Arial" w:cs="Arial"/>
        </w:rPr>
      </w:pPr>
    </w:p>
    <w:p w14:paraId="1245C5AB" w14:textId="77777777" w:rsidR="00404680" w:rsidRDefault="00404680" w:rsidP="00F0411C">
      <w:pPr>
        <w:pStyle w:val="Heading1"/>
        <w:tabs>
          <w:tab w:val="left" w:pos="90"/>
        </w:tabs>
        <w:ind w:left="90" w:hanging="90"/>
        <w:rPr>
          <w:rFonts w:ascii="Arial" w:hAnsi="Arial" w:cs="Arial"/>
        </w:rPr>
      </w:pPr>
    </w:p>
    <w:p w14:paraId="19BCDD08" w14:textId="77777777" w:rsidR="00404680" w:rsidRDefault="00404680" w:rsidP="00F0411C">
      <w:pPr>
        <w:pStyle w:val="Heading1"/>
        <w:tabs>
          <w:tab w:val="left" w:pos="90"/>
        </w:tabs>
        <w:ind w:left="90" w:hanging="90"/>
        <w:rPr>
          <w:rFonts w:ascii="Arial" w:hAnsi="Arial" w:cs="Arial"/>
        </w:rPr>
      </w:pPr>
    </w:p>
    <w:p w14:paraId="7D784050" w14:textId="77777777" w:rsidR="00404680" w:rsidRDefault="00404680" w:rsidP="00F0411C">
      <w:pPr>
        <w:pStyle w:val="Heading1"/>
        <w:tabs>
          <w:tab w:val="left" w:pos="90"/>
        </w:tabs>
        <w:ind w:left="90" w:hanging="90"/>
        <w:rPr>
          <w:rFonts w:ascii="Arial" w:hAnsi="Arial" w:cs="Arial"/>
        </w:rPr>
      </w:pPr>
    </w:p>
    <w:p w14:paraId="0948370D" w14:textId="77777777" w:rsidR="00404680" w:rsidRDefault="00404680" w:rsidP="00F0411C">
      <w:pPr>
        <w:pStyle w:val="Heading1"/>
        <w:tabs>
          <w:tab w:val="left" w:pos="90"/>
        </w:tabs>
        <w:ind w:left="90" w:hanging="90"/>
        <w:rPr>
          <w:rFonts w:ascii="Arial" w:hAnsi="Arial" w:cs="Arial"/>
        </w:rPr>
      </w:pPr>
    </w:p>
    <w:p w14:paraId="3274961C" w14:textId="77777777" w:rsidR="00404680" w:rsidRDefault="00404680" w:rsidP="00F0411C">
      <w:pPr>
        <w:pStyle w:val="Heading1"/>
        <w:tabs>
          <w:tab w:val="left" w:pos="90"/>
        </w:tabs>
        <w:ind w:left="90" w:hanging="90"/>
        <w:rPr>
          <w:rFonts w:ascii="Arial" w:hAnsi="Arial" w:cs="Arial"/>
        </w:rPr>
      </w:pPr>
    </w:p>
    <w:p w14:paraId="3DAF8657" w14:textId="77777777" w:rsidR="00404680" w:rsidRDefault="00404680" w:rsidP="00404680">
      <w:pPr>
        <w:pStyle w:val="Heading1"/>
        <w:tabs>
          <w:tab w:val="left" w:pos="90"/>
        </w:tabs>
        <w:ind w:left="0" w:firstLine="0"/>
        <w:rPr>
          <w:rFonts w:ascii="Arial" w:hAnsi="Arial" w:cs="Arial"/>
        </w:rPr>
      </w:pPr>
    </w:p>
    <w:p w14:paraId="11C18D1A" w14:textId="77777777" w:rsidR="00404680" w:rsidRDefault="00404680" w:rsidP="00404680">
      <w:pPr>
        <w:rPr>
          <w:lang w:val="en-US" w:eastAsia="en-US"/>
        </w:rPr>
      </w:pPr>
    </w:p>
    <w:p w14:paraId="494EDB96" w14:textId="77777777" w:rsidR="00404680" w:rsidRDefault="00404680" w:rsidP="00404680">
      <w:pPr>
        <w:rPr>
          <w:lang w:val="en-US" w:eastAsia="en-US"/>
        </w:rPr>
      </w:pPr>
    </w:p>
    <w:p w14:paraId="714AEBB8" w14:textId="77777777" w:rsidR="00404680" w:rsidRDefault="00404680" w:rsidP="00404680">
      <w:pPr>
        <w:rPr>
          <w:lang w:val="en-US" w:eastAsia="en-US"/>
        </w:rPr>
      </w:pPr>
    </w:p>
    <w:p w14:paraId="6241F711" w14:textId="77777777" w:rsidR="00404680" w:rsidRPr="00404680" w:rsidRDefault="00404680" w:rsidP="00404680">
      <w:pPr>
        <w:rPr>
          <w:lang w:val="en-US" w:eastAsia="en-US"/>
        </w:rPr>
      </w:pPr>
    </w:p>
    <w:p w14:paraId="17B01F85" w14:textId="77777777" w:rsidR="009C69AA" w:rsidRPr="00216C30" w:rsidRDefault="009C69AA" w:rsidP="00F0411C">
      <w:pPr>
        <w:pStyle w:val="Heading1"/>
        <w:tabs>
          <w:tab w:val="left" w:pos="90"/>
        </w:tabs>
        <w:ind w:left="90" w:hanging="90"/>
        <w:rPr>
          <w:rFonts w:ascii="Arial" w:hAnsi="Arial" w:cs="Arial"/>
        </w:rPr>
      </w:pPr>
      <w:bookmarkStart w:id="24" w:name="_Toc38875955"/>
      <w:r w:rsidRPr="00216C30">
        <w:rPr>
          <w:rFonts w:ascii="Arial" w:hAnsi="Arial" w:cs="Arial"/>
        </w:rPr>
        <w:lastRenderedPageBreak/>
        <w:t>APPENDIX C: INTEREST RATE RISK</w:t>
      </w:r>
      <w:bookmarkEnd w:id="24"/>
      <w:r w:rsidRPr="00216C30">
        <w:rPr>
          <w:rFonts w:ascii="Arial" w:hAnsi="Arial" w:cs="Arial"/>
        </w:rPr>
        <w:t xml:space="preserve"> </w:t>
      </w:r>
    </w:p>
    <w:p w14:paraId="5AB5EAB6" w14:textId="77777777" w:rsidR="009C69AA" w:rsidRPr="00216C30" w:rsidRDefault="009C69AA" w:rsidP="001658A3">
      <w:pPr>
        <w:rPr>
          <w:rFonts w:ascii="Arial" w:hAnsi="Arial" w:cs="Arial"/>
          <w:lang w:val="en-US"/>
        </w:rPr>
      </w:pPr>
    </w:p>
    <w:p w14:paraId="0FFA2734" w14:textId="77777777" w:rsidR="0088253B" w:rsidRPr="00216C30" w:rsidRDefault="0088253B" w:rsidP="0088253B">
      <w:pPr>
        <w:rPr>
          <w:rFonts w:ascii="Arial" w:hAnsi="Arial" w:cs="Arial"/>
          <w:lang w:val="en-US"/>
        </w:rPr>
      </w:pPr>
      <w:r w:rsidRPr="00216C30">
        <w:rPr>
          <w:rFonts w:ascii="Arial" w:hAnsi="Arial" w:cs="Arial"/>
          <w:lang w:val="en-US"/>
        </w:rPr>
        <w:t xml:space="preserve">The Asset </w:t>
      </w:r>
      <w:r w:rsidR="00225A6A" w:rsidRPr="00216C30">
        <w:rPr>
          <w:rFonts w:ascii="Arial" w:hAnsi="Arial" w:cs="Arial"/>
          <w:lang w:val="en-US"/>
        </w:rPr>
        <w:t xml:space="preserve">&amp; </w:t>
      </w:r>
      <w:r w:rsidRPr="00216C30">
        <w:rPr>
          <w:rFonts w:ascii="Arial" w:hAnsi="Arial" w:cs="Arial"/>
          <w:lang w:val="en-US"/>
        </w:rPr>
        <w:t xml:space="preserve">Liability </w:t>
      </w:r>
      <w:r w:rsidR="00225A6A" w:rsidRPr="00216C30">
        <w:rPr>
          <w:rFonts w:ascii="Arial" w:hAnsi="Arial" w:cs="Arial"/>
          <w:lang w:val="en-US"/>
        </w:rPr>
        <w:t>Committee</w:t>
      </w:r>
      <w:r w:rsidRPr="00216C30">
        <w:rPr>
          <w:rFonts w:ascii="Arial" w:hAnsi="Arial" w:cs="Arial"/>
          <w:lang w:val="en-US"/>
        </w:rPr>
        <w:t xml:space="preserve"> </w:t>
      </w:r>
      <w:r w:rsidR="00407BD9" w:rsidRPr="00216C30">
        <w:rPr>
          <w:rFonts w:ascii="Arial" w:hAnsi="Arial" w:cs="Arial"/>
          <w:lang w:val="en-US"/>
        </w:rPr>
        <w:t>oversees</w:t>
      </w:r>
      <w:r w:rsidRPr="00216C30">
        <w:rPr>
          <w:rFonts w:ascii="Arial" w:hAnsi="Arial" w:cs="Arial"/>
          <w:lang w:val="en-US"/>
        </w:rPr>
        <w:t xml:space="preserve"> </w:t>
      </w:r>
      <w:r w:rsidR="00407BD9" w:rsidRPr="00216C30">
        <w:rPr>
          <w:rFonts w:ascii="Arial" w:hAnsi="Arial" w:cs="Arial"/>
          <w:lang w:val="en-US"/>
        </w:rPr>
        <w:t xml:space="preserve">and assesses </w:t>
      </w:r>
      <w:r w:rsidRPr="00216C30">
        <w:rPr>
          <w:rFonts w:ascii="Arial" w:hAnsi="Arial" w:cs="Arial"/>
          <w:lang w:val="en-US"/>
        </w:rPr>
        <w:t xml:space="preserve">the following </w:t>
      </w:r>
      <w:r w:rsidR="00407BD9" w:rsidRPr="00216C30">
        <w:rPr>
          <w:rFonts w:ascii="Arial" w:hAnsi="Arial" w:cs="Arial"/>
          <w:lang w:val="en-US"/>
        </w:rPr>
        <w:t>impacts resulting from a</w:t>
      </w:r>
      <w:r w:rsidRPr="00216C30">
        <w:rPr>
          <w:rFonts w:ascii="Arial" w:hAnsi="Arial" w:cs="Arial"/>
          <w:lang w:val="en-US"/>
        </w:rPr>
        <w:t xml:space="preserve"> plus or minus </w:t>
      </w:r>
      <w:r w:rsidR="00B91B24" w:rsidRPr="00216C30">
        <w:rPr>
          <w:rFonts w:ascii="Arial" w:hAnsi="Arial" w:cs="Arial"/>
          <w:lang w:val="en-US"/>
        </w:rPr>
        <w:t>2</w:t>
      </w:r>
      <w:r w:rsidRPr="00216C30">
        <w:rPr>
          <w:rFonts w:ascii="Arial" w:hAnsi="Arial" w:cs="Arial"/>
          <w:lang w:val="en-US"/>
        </w:rPr>
        <w:t xml:space="preserve">00 bps parallel shift in interest rates: </w:t>
      </w:r>
    </w:p>
    <w:p w14:paraId="0ABEBCA0" w14:textId="77777777" w:rsidR="00225A6A" w:rsidRPr="00216C30" w:rsidRDefault="00225A6A" w:rsidP="0088253B">
      <w:pPr>
        <w:rPr>
          <w:rFonts w:ascii="Arial" w:hAnsi="Arial" w:cs="Arial"/>
          <w:lang w:val="en-US"/>
        </w:rPr>
      </w:pPr>
    </w:p>
    <w:p w14:paraId="52570B95" w14:textId="77777777" w:rsidR="0088253B" w:rsidRPr="00216C30" w:rsidRDefault="00D42D73" w:rsidP="00216C30">
      <w:pPr>
        <w:tabs>
          <w:tab w:val="left" w:pos="720"/>
        </w:tabs>
        <w:spacing w:line="276" w:lineRule="auto"/>
        <w:ind w:firstLine="720"/>
        <w:rPr>
          <w:rFonts w:ascii="Arial" w:hAnsi="Arial" w:cs="Arial"/>
        </w:rPr>
      </w:pPr>
      <w:r w:rsidRPr="00216C30">
        <w:rPr>
          <w:rFonts w:ascii="Arial" w:hAnsi="Arial" w:cs="Arial"/>
          <w:lang w:val="en-US"/>
        </w:rPr>
        <w:t xml:space="preserve">• Projected Net </w:t>
      </w:r>
      <w:r w:rsidR="009C3D80" w:rsidRPr="00216C30">
        <w:rPr>
          <w:rFonts w:ascii="Arial" w:hAnsi="Arial" w:cs="Arial"/>
          <w:lang w:val="en-US"/>
        </w:rPr>
        <w:t xml:space="preserve">Interest </w:t>
      </w:r>
      <w:r w:rsidRPr="00216C30">
        <w:rPr>
          <w:rFonts w:ascii="Arial" w:hAnsi="Arial" w:cs="Arial"/>
          <w:lang w:val="en-US"/>
        </w:rPr>
        <w:t xml:space="preserve">Income </w:t>
      </w:r>
      <w:r w:rsidR="00BB7215" w:rsidRPr="00216C30">
        <w:rPr>
          <w:rFonts w:ascii="Arial" w:hAnsi="Arial" w:cs="Arial"/>
          <w:lang w:val="en-US"/>
        </w:rPr>
        <w:t xml:space="preserve">(NII) </w:t>
      </w:r>
      <w:r w:rsidR="00407BD9" w:rsidRPr="00216C30">
        <w:rPr>
          <w:rFonts w:ascii="Arial" w:hAnsi="Arial" w:cs="Arial"/>
          <w:lang w:val="en-US"/>
        </w:rPr>
        <w:t>over the next 12 months</w:t>
      </w:r>
    </w:p>
    <w:p w14:paraId="70643B94" w14:textId="77777777" w:rsidR="00407BD9" w:rsidRPr="00216C30" w:rsidRDefault="00225A6A" w:rsidP="00216C30">
      <w:pPr>
        <w:ind w:left="720"/>
        <w:rPr>
          <w:rFonts w:ascii="Arial" w:hAnsi="Arial" w:cs="Arial"/>
        </w:rPr>
      </w:pPr>
      <w:r w:rsidRPr="00216C30">
        <w:rPr>
          <w:rFonts w:ascii="Arial" w:hAnsi="Arial" w:cs="Arial"/>
          <w:lang w:val="en-US"/>
        </w:rPr>
        <w:t>• Net Economic Value</w:t>
      </w:r>
      <w:r w:rsidR="0042591B" w:rsidRPr="00216C30">
        <w:rPr>
          <w:rFonts w:ascii="Arial" w:hAnsi="Arial" w:cs="Arial"/>
          <w:lang w:val="en-US"/>
        </w:rPr>
        <w:t xml:space="preserve"> (NEV)</w:t>
      </w:r>
    </w:p>
    <w:p w14:paraId="504E7E8C" w14:textId="77777777" w:rsidR="00DF6421" w:rsidRPr="00216C30" w:rsidRDefault="00DF6421" w:rsidP="00855C10">
      <w:pPr>
        <w:ind w:left="720"/>
        <w:rPr>
          <w:rFonts w:ascii="Arial" w:hAnsi="Arial" w:cs="Arial"/>
          <w:lang w:val="en-US"/>
        </w:rPr>
      </w:pPr>
    </w:p>
    <w:p w14:paraId="6E599C58" w14:textId="77777777" w:rsidR="00407BD9" w:rsidRPr="00216C30" w:rsidRDefault="000511BA" w:rsidP="000511BA">
      <w:pPr>
        <w:rPr>
          <w:rFonts w:ascii="Arial" w:hAnsi="Arial" w:cs="Arial"/>
          <w:lang w:val="en-US"/>
        </w:rPr>
      </w:pPr>
      <w:r w:rsidRPr="00216C30">
        <w:rPr>
          <w:rFonts w:ascii="Arial" w:hAnsi="Arial" w:cs="Arial"/>
          <w:lang w:val="en-US"/>
        </w:rPr>
        <w:t>The impact</w:t>
      </w:r>
      <w:r w:rsidR="00005882" w:rsidRPr="00216C30">
        <w:rPr>
          <w:rFonts w:ascii="Arial" w:hAnsi="Arial" w:cs="Arial"/>
          <w:lang w:val="en-US"/>
        </w:rPr>
        <w:t>s have</w:t>
      </w:r>
      <w:r w:rsidRPr="00216C30">
        <w:rPr>
          <w:rFonts w:ascii="Arial" w:hAnsi="Arial" w:cs="Arial"/>
          <w:lang w:val="en-US"/>
        </w:rPr>
        <w:t xml:space="preserve"> a close linear relation to the basi</w:t>
      </w:r>
      <w:r w:rsidR="00B91B24" w:rsidRPr="00216C30">
        <w:rPr>
          <w:rFonts w:ascii="Arial" w:hAnsi="Arial" w:cs="Arial"/>
          <w:lang w:val="en-US"/>
        </w:rPr>
        <w:t>s point shift. Consequently, a 1</w:t>
      </w:r>
      <w:r w:rsidRPr="00216C30">
        <w:rPr>
          <w:rFonts w:ascii="Arial" w:hAnsi="Arial" w:cs="Arial"/>
          <w:lang w:val="en-US"/>
        </w:rPr>
        <w:t xml:space="preserve">00bps shift would impact </w:t>
      </w:r>
      <w:r w:rsidR="00BB7215" w:rsidRPr="00216C30">
        <w:rPr>
          <w:rFonts w:ascii="Arial" w:hAnsi="Arial" w:cs="Arial"/>
          <w:lang w:val="en-US"/>
        </w:rPr>
        <w:t xml:space="preserve">NII </w:t>
      </w:r>
      <w:r w:rsidRPr="00216C30">
        <w:rPr>
          <w:rFonts w:ascii="Arial" w:hAnsi="Arial" w:cs="Arial"/>
          <w:lang w:val="en-US"/>
        </w:rPr>
        <w:t xml:space="preserve">and </w:t>
      </w:r>
      <w:r w:rsidR="0042591B" w:rsidRPr="00216C30">
        <w:rPr>
          <w:rFonts w:ascii="Arial" w:hAnsi="Arial" w:cs="Arial"/>
          <w:lang w:val="en-US"/>
        </w:rPr>
        <w:t>NEV</w:t>
      </w:r>
      <w:r w:rsidRPr="00216C30">
        <w:rPr>
          <w:rFonts w:ascii="Arial" w:hAnsi="Arial" w:cs="Arial"/>
          <w:lang w:val="en-US"/>
        </w:rPr>
        <w:t xml:space="preserve"> </w:t>
      </w:r>
      <w:r w:rsidR="00B91B24" w:rsidRPr="00216C30">
        <w:rPr>
          <w:rFonts w:ascii="Arial" w:hAnsi="Arial" w:cs="Arial"/>
          <w:lang w:val="en-US"/>
        </w:rPr>
        <w:t>half</w:t>
      </w:r>
      <w:r w:rsidR="007E0C66" w:rsidRPr="00216C30">
        <w:rPr>
          <w:rFonts w:ascii="Arial" w:hAnsi="Arial" w:cs="Arial"/>
          <w:lang w:val="en-US"/>
        </w:rPr>
        <w:t xml:space="preserve"> as much as </w:t>
      </w:r>
      <w:r w:rsidR="00B91B24" w:rsidRPr="00216C30">
        <w:rPr>
          <w:rFonts w:ascii="Arial" w:hAnsi="Arial" w:cs="Arial"/>
          <w:lang w:val="en-US"/>
        </w:rPr>
        <w:t>a 2</w:t>
      </w:r>
      <w:r w:rsidRPr="00216C30">
        <w:rPr>
          <w:rFonts w:ascii="Arial" w:hAnsi="Arial" w:cs="Arial"/>
          <w:lang w:val="en-US"/>
        </w:rPr>
        <w:t>00bps shift.</w:t>
      </w:r>
    </w:p>
    <w:p w14:paraId="7ECFD3DA" w14:textId="77777777" w:rsidR="003B33A2" w:rsidRPr="00216C30" w:rsidRDefault="003B33A2" w:rsidP="0088253B">
      <w:pPr>
        <w:rPr>
          <w:rFonts w:ascii="Arial" w:hAnsi="Arial" w:cs="Arial"/>
          <w:lang w:val="en-US"/>
        </w:rPr>
      </w:pPr>
    </w:p>
    <w:p w14:paraId="05FF4404" w14:textId="77777777" w:rsidR="0032546F" w:rsidRPr="00216C30" w:rsidRDefault="0032546F" w:rsidP="0032546F">
      <w:pPr>
        <w:rPr>
          <w:rFonts w:ascii="Arial" w:hAnsi="Arial" w:cs="Arial"/>
          <w:lang w:val="en-US"/>
        </w:rPr>
      </w:pPr>
      <w:r w:rsidRPr="00216C30">
        <w:rPr>
          <w:rFonts w:ascii="Arial" w:hAnsi="Arial" w:cs="Arial"/>
          <w:lang w:val="en-US"/>
        </w:rPr>
        <w:t xml:space="preserve">The limits for the interest rate impact are set at </w:t>
      </w:r>
      <w:r w:rsidR="00B91B24" w:rsidRPr="00216C30">
        <w:rPr>
          <w:rFonts w:ascii="Arial" w:hAnsi="Arial" w:cs="Arial"/>
          <w:lang w:val="en-US"/>
        </w:rPr>
        <w:t>2</w:t>
      </w:r>
      <w:r w:rsidRPr="00216C30">
        <w:rPr>
          <w:rFonts w:ascii="Arial" w:hAnsi="Arial" w:cs="Arial"/>
          <w:lang w:val="en-US"/>
        </w:rPr>
        <w:t xml:space="preserve">0% </w:t>
      </w:r>
      <w:r w:rsidR="00B91B24" w:rsidRPr="00216C30">
        <w:rPr>
          <w:rFonts w:ascii="Arial" w:hAnsi="Arial" w:cs="Arial"/>
          <w:lang w:val="en-US"/>
        </w:rPr>
        <w:t>for NII, and 12</w:t>
      </w:r>
      <w:r w:rsidRPr="00216C30">
        <w:rPr>
          <w:rFonts w:ascii="Arial" w:hAnsi="Arial" w:cs="Arial"/>
          <w:lang w:val="en-US"/>
        </w:rPr>
        <w:t>% for NEV. The results of the most recent quarter are as follows:</w:t>
      </w:r>
    </w:p>
    <w:p w14:paraId="2CE0FDA2" w14:textId="77777777" w:rsidR="000E39A9" w:rsidRPr="00216C30" w:rsidRDefault="000E39A9" w:rsidP="0088253B">
      <w:pPr>
        <w:rPr>
          <w:rFonts w:ascii="Arial" w:hAnsi="Arial" w:cs="Arial"/>
          <w:lang w:val="en-US"/>
        </w:rPr>
      </w:pPr>
    </w:p>
    <w:p w14:paraId="4E6F01D3" w14:textId="77777777" w:rsidR="00225A6A" w:rsidRPr="00216C30" w:rsidRDefault="00225A6A" w:rsidP="0088253B">
      <w:pPr>
        <w:rPr>
          <w:rFonts w:ascii="Arial" w:hAnsi="Arial" w:cs="Arial"/>
          <w:lang w:val="en-US"/>
        </w:rPr>
      </w:pPr>
    </w:p>
    <w:tbl>
      <w:tblPr>
        <w:tblW w:w="7080" w:type="dxa"/>
        <w:tblInd w:w="93" w:type="dxa"/>
        <w:tblLook w:val="04A0" w:firstRow="1" w:lastRow="0" w:firstColumn="1" w:lastColumn="0" w:noHBand="0" w:noVBand="1"/>
      </w:tblPr>
      <w:tblGrid>
        <w:gridCol w:w="3540"/>
        <w:gridCol w:w="1820"/>
        <w:gridCol w:w="1720"/>
      </w:tblGrid>
      <w:tr w:rsidR="00216C30" w:rsidRPr="00424CC3" w14:paraId="44891975" w14:textId="77777777" w:rsidTr="00216C30">
        <w:trPr>
          <w:trHeight w:val="300"/>
        </w:trPr>
        <w:tc>
          <w:tcPr>
            <w:tcW w:w="3540" w:type="dxa"/>
            <w:tcBorders>
              <w:top w:val="single" w:sz="4" w:space="0" w:color="auto"/>
              <w:left w:val="single" w:sz="4" w:space="0" w:color="auto"/>
              <w:bottom w:val="nil"/>
              <w:right w:val="nil"/>
            </w:tcBorders>
            <w:shd w:val="clear" w:color="auto" w:fill="auto"/>
            <w:noWrap/>
            <w:vAlign w:val="bottom"/>
            <w:hideMark/>
          </w:tcPr>
          <w:p w14:paraId="13A5CA8E" w14:textId="77777777" w:rsidR="00216C30" w:rsidRPr="00216C30" w:rsidRDefault="00216C30" w:rsidP="00C06B65">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 </w:t>
            </w:r>
          </w:p>
        </w:tc>
        <w:tc>
          <w:tcPr>
            <w:tcW w:w="1820" w:type="dxa"/>
            <w:tcBorders>
              <w:top w:val="single" w:sz="4" w:space="0" w:color="auto"/>
              <w:left w:val="nil"/>
              <w:bottom w:val="nil"/>
              <w:right w:val="nil"/>
            </w:tcBorders>
            <w:shd w:val="clear" w:color="000000" w:fill="BFBFBF"/>
            <w:noWrap/>
            <w:vAlign w:val="bottom"/>
            <w:hideMark/>
          </w:tcPr>
          <w:p w14:paraId="5A586753" w14:textId="77777777" w:rsidR="00216C30" w:rsidRPr="00216C30" w:rsidRDefault="00216C30" w:rsidP="00C06B65">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Limit</w:t>
            </w:r>
          </w:p>
        </w:tc>
        <w:tc>
          <w:tcPr>
            <w:tcW w:w="1720" w:type="dxa"/>
            <w:tcBorders>
              <w:top w:val="single" w:sz="4" w:space="0" w:color="auto"/>
              <w:left w:val="nil"/>
              <w:bottom w:val="nil"/>
              <w:right w:val="single" w:sz="4" w:space="0" w:color="auto"/>
            </w:tcBorders>
            <w:shd w:val="clear" w:color="auto" w:fill="auto"/>
            <w:noWrap/>
            <w:vAlign w:val="bottom"/>
            <w:hideMark/>
          </w:tcPr>
          <w:p w14:paraId="0C80CEC5" w14:textId="77777777" w:rsidR="00216C30" w:rsidRPr="00216C30" w:rsidRDefault="00216C30" w:rsidP="00C06B65">
            <w:pPr>
              <w:jc w:val="right"/>
              <w:rPr>
                <w:rFonts w:ascii="Arial" w:hAnsi="Arial" w:cs="Arial"/>
                <w:b/>
                <w:bCs/>
                <w:color w:val="000000"/>
                <w:sz w:val="22"/>
                <w:szCs w:val="22"/>
                <w:lang w:val="en-US" w:eastAsia="en-US"/>
              </w:rPr>
            </w:pPr>
            <w:r w:rsidRPr="00216C30">
              <w:rPr>
                <w:rFonts w:ascii="Arial" w:hAnsi="Arial" w:cs="Arial"/>
                <w:b/>
                <w:bCs/>
                <w:color w:val="000000"/>
                <w:sz w:val="22"/>
                <w:szCs w:val="22"/>
                <w:lang w:val="en-US" w:eastAsia="en-US"/>
              </w:rPr>
              <w:t>% Impact</w:t>
            </w:r>
          </w:p>
        </w:tc>
      </w:tr>
      <w:tr w:rsidR="00216C30" w:rsidRPr="00424CC3" w14:paraId="417BF3F8" w14:textId="77777777" w:rsidTr="00216C30">
        <w:trPr>
          <w:trHeight w:val="315"/>
        </w:trPr>
        <w:tc>
          <w:tcPr>
            <w:tcW w:w="3540" w:type="dxa"/>
            <w:tcBorders>
              <w:top w:val="nil"/>
              <w:left w:val="single" w:sz="4" w:space="0" w:color="auto"/>
              <w:bottom w:val="nil"/>
              <w:right w:val="nil"/>
            </w:tcBorders>
            <w:shd w:val="clear" w:color="auto" w:fill="auto"/>
            <w:noWrap/>
            <w:vAlign w:val="bottom"/>
            <w:hideMark/>
          </w:tcPr>
          <w:p w14:paraId="5AA278B1" w14:textId="77777777" w:rsidR="00216C30" w:rsidRPr="00216C30" w:rsidRDefault="00216C30" w:rsidP="0032546F">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Net Interest Income</w:t>
            </w:r>
          </w:p>
        </w:tc>
        <w:tc>
          <w:tcPr>
            <w:tcW w:w="1820" w:type="dxa"/>
            <w:tcBorders>
              <w:top w:val="nil"/>
              <w:left w:val="nil"/>
              <w:bottom w:val="nil"/>
              <w:right w:val="nil"/>
            </w:tcBorders>
            <w:shd w:val="clear" w:color="000000" w:fill="BFBFBF"/>
            <w:noWrap/>
            <w:vAlign w:val="bottom"/>
            <w:hideMark/>
          </w:tcPr>
          <w:p w14:paraId="25FCFA51" w14:textId="77777777" w:rsidR="00216C30" w:rsidRPr="00216C30" w:rsidRDefault="00216C30" w:rsidP="00C06B65">
            <w:pPr>
              <w:jc w:val="right"/>
              <w:rPr>
                <w:rFonts w:ascii="Arial" w:hAnsi="Arial" w:cs="Arial"/>
                <w:color w:val="000000"/>
                <w:sz w:val="22"/>
                <w:szCs w:val="22"/>
                <w:lang w:val="en-US" w:eastAsia="en-US"/>
              </w:rPr>
            </w:pPr>
            <w:r w:rsidRPr="00216C30">
              <w:rPr>
                <w:rFonts w:ascii="Arial" w:hAnsi="Arial" w:cs="Arial"/>
                <w:color w:val="000000"/>
                <w:sz w:val="22"/>
                <w:szCs w:val="22"/>
                <w:lang w:val="en-US" w:eastAsia="en-US"/>
              </w:rPr>
              <w:t>20%</w:t>
            </w:r>
          </w:p>
        </w:tc>
        <w:tc>
          <w:tcPr>
            <w:tcW w:w="1720" w:type="dxa"/>
            <w:tcBorders>
              <w:top w:val="nil"/>
              <w:left w:val="nil"/>
              <w:bottom w:val="nil"/>
              <w:right w:val="single" w:sz="4" w:space="0" w:color="auto"/>
            </w:tcBorders>
            <w:shd w:val="clear" w:color="auto" w:fill="auto"/>
            <w:noWrap/>
            <w:vAlign w:val="bottom"/>
            <w:hideMark/>
          </w:tcPr>
          <w:p w14:paraId="751BAAFF" w14:textId="248069A5" w:rsidR="00216C30" w:rsidRPr="00216C30" w:rsidRDefault="009469ED" w:rsidP="00735AD2">
            <w:pPr>
              <w:jc w:val="right"/>
              <w:rPr>
                <w:rFonts w:ascii="Arial" w:hAnsi="Arial" w:cs="Arial"/>
                <w:color w:val="000000"/>
                <w:sz w:val="22"/>
                <w:szCs w:val="22"/>
                <w:lang w:val="en-US" w:eastAsia="en-US"/>
              </w:rPr>
            </w:pPr>
            <w:r>
              <w:rPr>
                <w:rFonts w:ascii="Arial" w:hAnsi="Arial" w:cs="Arial"/>
                <w:color w:val="000000"/>
                <w:sz w:val="22"/>
                <w:szCs w:val="22"/>
                <w:lang w:val="en-US" w:eastAsia="en-US"/>
              </w:rPr>
              <w:t>1</w:t>
            </w:r>
            <w:r w:rsidR="00216C30" w:rsidRPr="00216C30">
              <w:rPr>
                <w:rFonts w:ascii="Arial" w:hAnsi="Arial" w:cs="Arial"/>
                <w:color w:val="000000"/>
                <w:sz w:val="22"/>
                <w:szCs w:val="22"/>
                <w:lang w:val="en-US" w:eastAsia="en-US"/>
              </w:rPr>
              <w:t>%</w:t>
            </w:r>
          </w:p>
        </w:tc>
      </w:tr>
      <w:tr w:rsidR="00216C30" w:rsidRPr="00424CC3" w14:paraId="7DCAE8A4" w14:textId="77777777" w:rsidTr="00216C30">
        <w:trPr>
          <w:trHeight w:val="300"/>
        </w:trPr>
        <w:tc>
          <w:tcPr>
            <w:tcW w:w="3540" w:type="dxa"/>
            <w:tcBorders>
              <w:top w:val="nil"/>
              <w:left w:val="single" w:sz="4" w:space="0" w:color="auto"/>
              <w:bottom w:val="single" w:sz="4" w:space="0" w:color="auto"/>
              <w:right w:val="nil"/>
            </w:tcBorders>
            <w:shd w:val="clear" w:color="auto" w:fill="auto"/>
            <w:noWrap/>
            <w:vAlign w:val="bottom"/>
            <w:hideMark/>
          </w:tcPr>
          <w:p w14:paraId="4B4B4A55" w14:textId="77777777" w:rsidR="00216C30" w:rsidRPr="00216C30" w:rsidRDefault="00216C30" w:rsidP="00C06B65">
            <w:pPr>
              <w:jc w:val="left"/>
              <w:rPr>
                <w:rFonts w:ascii="Arial" w:hAnsi="Arial" w:cs="Arial"/>
                <w:color w:val="000000"/>
                <w:sz w:val="22"/>
                <w:szCs w:val="22"/>
                <w:lang w:val="en-US" w:eastAsia="en-US"/>
              </w:rPr>
            </w:pPr>
            <w:r w:rsidRPr="00216C30">
              <w:rPr>
                <w:rFonts w:ascii="Arial" w:hAnsi="Arial" w:cs="Arial"/>
                <w:color w:val="000000"/>
                <w:sz w:val="22"/>
                <w:szCs w:val="22"/>
                <w:lang w:val="en-US" w:eastAsia="en-US"/>
              </w:rPr>
              <w:t>Net Economic Value</w:t>
            </w:r>
          </w:p>
        </w:tc>
        <w:tc>
          <w:tcPr>
            <w:tcW w:w="1820" w:type="dxa"/>
            <w:tcBorders>
              <w:top w:val="nil"/>
              <w:left w:val="nil"/>
              <w:bottom w:val="single" w:sz="4" w:space="0" w:color="auto"/>
              <w:right w:val="nil"/>
            </w:tcBorders>
            <w:shd w:val="clear" w:color="000000" w:fill="BFBFBF"/>
            <w:noWrap/>
            <w:vAlign w:val="bottom"/>
            <w:hideMark/>
          </w:tcPr>
          <w:p w14:paraId="226F8588" w14:textId="77777777" w:rsidR="00216C30" w:rsidRPr="00216C30" w:rsidRDefault="00216C30" w:rsidP="00C06B65">
            <w:pPr>
              <w:jc w:val="right"/>
              <w:rPr>
                <w:rFonts w:ascii="Arial" w:hAnsi="Arial" w:cs="Arial"/>
                <w:color w:val="000000"/>
                <w:sz w:val="22"/>
                <w:szCs w:val="22"/>
                <w:lang w:val="en-US" w:eastAsia="en-US"/>
              </w:rPr>
            </w:pPr>
            <w:r w:rsidRPr="00216C30">
              <w:rPr>
                <w:rFonts w:ascii="Arial" w:hAnsi="Arial" w:cs="Arial"/>
                <w:color w:val="000000"/>
                <w:sz w:val="22"/>
                <w:szCs w:val="22"/>
                <w:lang w:val="en-US" w:eastAsia="en-US"/>
              </w:rPr>
              <w:t>12%</w:t>
            </w:r>
          </w:p>
        </w:tc>
        <w:tc>
          <w:tcPr>
            <w:tcW w:w="1720" w:type="dxa"/>
            <w:tcBorders>
              <w:top w:val="nil"/>
              <w:left w:val="nil"/>
              <w:bottom w:val="single" w:sz="4" w:space="0" w:color="auto"/>
              <w:right w:val="single" w:sz="4" w:space="0" w:color="auto"/>
            </w:tcBorders>
            <w:shd w:val="clear" w:color="auto" w:fill="auto"/>
            <w:noWrap/>
            <w:vAlign w:val="bottom"/>
            <w:hideMark/>
          </w:tcPr>
          <w:p w14:paraId="2B628667" w14:textId="77777777" w:rsidR="00216C30" w:rsidRPr="00216C30" w:rsidRDefault="00B7293E" w:rsidP="00216C30">
            <w:pPr>
              <w:jc w:val="right"/>
              <w:rPr>
                <w:rFonts w:ascii="Arial" w:hAnsi="Arial" w:cs="Arial"/>
                <w:color w:val="000000"/>
                <w:sz w:val="22"/>
                <w:szCs w:val="22"/>
                <w:lang w:val="en-US" w:eastAsia="en-US"/>
              </w:rPr>
            </w:pPr>
            <w:r>
              <w:rPr>
                <w:rFonts w:ascii="Arial" w:hAnsi="Arial" w:cs="Arial"/>
                <w:color w:val="000000"/>
                <w:sz w:val="22"/>
                <w:szCs w:val="22"/>
                <w:lang w:val="en-US" w:eastAsia="en-US"/>
              </w:rPr>
              <w:t>4</w:t>
            </w:r>
            <w:r w:rsidR="00216C30" w:rsidRPr="00216C30">
              <w:rPr>
                <w:rFonts w:ascii="Arial" w:hAnsi="Arial" w:cs="Arial"/>
                <w:color w:val="000000"/>
                <w:sz w:val="22"/>
                <w:szCs w:val="22"/>
                <w:lang w:val="en-US" w:eastAsia="en-US"/>
              </w:rPr>
              <w:t>%</w:t>
            </w:r>
          </w:p>
        </w:tc>
      </w:tr>
    </w:tbl>
    <w:p w14:paraId="6C4BE9DD" w14:textId="77777777" w:rsidR="00C06B65" w:rsidRPr="00216C30" w:rsidRDefault="00C06B65" w:rsidP="0088253B">
      <w:pPr>
        <w:rPr>
          <w:rFonts w:ascii="Arial" w:hAnsi="Arial" w:cs="Arial"/>
          <w:lang w:val="en-US"/>
        </w:rPr>
      </w:pPr>
    </w:p>
    <w:p w14:paraId="3757C117" w14:textId="77777777" w:rsidR="00712B44" w:rsidRDefault="00712B44" w:rsidP="0088253B">
      <w:pPr>
        <w:rPr>
          <w:lang w:val="en-US"/>
        </w:rPr>
      </w:pPr>
    </w:p>
    <w:p w14:paraId="3C97684C" w14:textId="77777777" w:rsidR="00712B44" w:rsidRDefault="00712B44" w:rsidP="0088253B">
      <w:pPr>
        <w:rPr>
          <w:lang w:val="en-US"/>
        </w:rPr>
      </w:pPr>
    </w:p>
    <w:p w14:paraId="1788F664" w14:textId="03D1328C" w:rsidR="00A15C39" w:rsidRDefault="00A15C39">
      <w:pPr>
        <w:jc w:val="left"/>
        <w:rPr>
          <w:lang w:val="en-US"/>
        </w:rPr>
      </w:pPr>
      <w:r>
        <w:rPr>
          <w:lang w:val="en-US"/>
        </w:rPr>
        <w:br w:type="page"/>
      </w:r>
    </w:p>
    <w:p w14:paraId="14619666" w14:textId="77777777" w:rsidR="009E309B" w:rsidRPr="0029714F" w:rsidRDefault="009E309B" w:rsidP="009E309B">
      <w:pPr>
        <w:pStyle w:val="Heading1"/>
        <w:tabs>
          <w:tab w:val="left" w:pos="90"/>
        </w:tabs>
        <w:ind w:left="90" w:hanging="90"/>
        <w:rPr>
          <w:rFonts w:ascii="Arial" w:hAnsi="Arial" w:cs="Arial"/>
        </w:rPr>
      </w:pPr>
      <w:bookmarkStart w:id="25" w:name="_Toc37189407"/>
      <w:bookmarkStart w:id="26" w:name="_Toc269658"/>
      <w:bookmarkStart w:id="27" w:name="_Toc504640563"/>
      <w:bookmarkStart w:id="28" w:name="_Toc440635183"/>
      <w:bookmarkStart w:id="29" w:name="_Toc409688839"/>
      <w:bookmarkStart w:id="30" w:name="_Toc38875956"/>
      <w:r w:rsidRPr="0029714F">
        <w:rPr>
          <w:rFonts w:ascii="Arial" w:hAnsi="Arial" w:cs="Arial"/>
        </w:rPr>
        <w:lastRenderedPageBreak/>
        <w:t>APPENDIX D: REMUNERATION</w:t>
      </w:r>
      <w:bookmarkEnd w:id="25"/>
    </w:p>
    <w:p w14:paraId="7ED37F3F" w14:textId="77777777" w:rsidR="009E309B" w:rsidRPr="0029714F" w:rsidRDefault="009E309B" w:rsidP="009E309B">
      <w:pPr>
        <w:pStyle w:val="Default"/>
        <w:jc w:val="both"/>
        <w:rPr>
          <w:rFonts w:ascii="Times New Roman" w:hAnsi="Times New Roman" w:cs="Times New Roman"/>
          <w:b/>
        </w:rPr>
      </w:pPr>
    </w:p>
    <w:p w14:paraId="12C59CEF" w14:textId="77777777" w:rsidR="009E309B" w:rsidRPr="0029714F" w:rsidRDefault="009E309B" w:rsidP="009E309B">
      <w:pPr>
        <w:pStyle w:val="Default"/>
        <w:jc w:val="both"/>
        <w:rPr>
          <w:rFonts w:ascii="Arial" w:hAnsi="Arial" w:cs="Arial"/>
          <w:b/>
          <w:bCs/>
        </w:rPr>
      </w:pPr>
      <w:r w:rsidRPr="0029714F">
        <w:rPr>
          <w:rFonts w:ascii="Arial" w:hAnsi="Arial" w:cs="Arial"/>
          <w:b/>
          <w:bCs/>
        </w:rPr>
        <w:t xml:space="preserve">OVERALL COMPONENTS OF COMPENSATION </w:t>
      </w:r>
    </w:p>
    <w:p w14:paraId="422238D8" w14:textId="77777777" w:rsidR="009E309B" w:rsidRPr="0029714F" w:rsidRDefault="009E309B" w:rsidP="009E309B">
      <w:pPr>
        <w:pStyle w:val="Default"/>
        <w:rPr>
          <w:rFonts w:ascii="Arial" w:hAnsi="Arial" w:cs="Arial"/>
          <w:b/>
        </w:rPr>
      </w:pPr>
    </w:p>
    <w:p w14:paraId="35EB7CE7" w14:textId="77777777" w:rsidR="009E309B" w:rsidRDefault="009E309B" w:rsidP="009E309B">
      <w:pPr>
        <w:pStyle w:val="Default"/>
        <w:jc w:val="both"/>
        <w:rPr>
          <w:rFonts w:ascii="Arial" w:hAnsi="Arial" w:cs="Arial"/>
        </w:rPr>
      </w:pPr>
      <w:r w:rsidRPr="0029714F">
        <w:rPr>
          <w:rFonts w:ascii="Arial" w:hAnsi="Arial" w:cs="Arial"/>
        </w:rPr>
        <w:t xml:space="preserve">The Bank structures its approach to compensation to be aligned with market practices for the financial services industry while adhering </w:t>
      </w:r>
      <w:r>
        <w:rPr>
          <w:rFonts w:ascii="Arial" w:hAnsi="Arial" w:cs="Arial"/>
        </w:rPr>
        <w:t>to</w:t>
      </w:r>
      <w:r w:rsidRPr="0029714F">
        <w:rPr>
          <w:rFonts w:ascii="Arial" w:hAnsi="Arial" w:cs="Arial"/>
        </w:rPr>
        <w:t xml:space="preserve"> related regulatory requirements.  Rewards are based on business performance objectives and are structured to incentivize associates to meet strategic business objectives.  </w:t>
      </w:r>
    </w:p>
    <w:p w14:paraId="262379DE" w14:textId="77777777" w:rsidR="009E309B" w:rsidRDefault="009E309B" w:rsidP="009E309B">
      <w:pPr>
        <w:pStyle w:val="Default"/>
        <w:jc w:val="both"/>
        <w:rPr>
          <w:rFonts w:ascii="Arial" w:hAnsi="Arial" w:cs="Arial"/>
        </w:rPr>
      </w:pPr>
    </w:p>
    <w:p w14:paraId="3A070C38" w14:textId="77777777" w:rsidR="009E309B" w:rsidRPr="00725CAB" w:rsidRDefault="009E309B" w:rsidP="009E309B">
      <w:pPr>
        <w:pStyle w:val="Default"/>
        <w:jc w:val="both"/>
        <w:rPr>
          <w:rFonts w:ascii="Arial" w:hAnsi="Arial" w:cs="Arial"/>
        </w:rPr>
      </w:pPr>
      <w:r w:rsidRPr="00725CAB">
        <w:rPr>
          <w:rFonts w:ascii="Arial" w:hAnsi="Arial" w:cs="Arial"/>
        </w:rPr>
        <w:t>Senior management remuneration is overseen by the Executive Committee of the Board of Directors, currently comprised of three members.  None of the members of the Executive Committee are employees or officers of the Bank.</w:t>
      </w:r>
    </w:p>
    <w:p w14:paraId="3B6CA0A1" w14:textId="77777777" w:rsidR="009E309B" w:rsidRDefault="009E309B" w:rsidP="009E309B">
      <w:pPr>
        <w:pStyle w:val="Default"/>
        <w:jc w:val="both"/>
        <w:rPr>
          <w:rFonts w:ascii="Arial" w:hAnsi="Arial" w:cs="Arial"/>
        </w:rPr>
      </w:pPr>
    </w:p>
    <w:p w14:paraId="515B03A0" w14:textId="77777777" w:rsidR="009E309B" w:rsidRPr="0029714F" w:rsidRDefault="009E309B" w:rsidP="009E309B">
      <w:pPr>
        <w:pStyle w:val="Default"/>
        <w:jc w:val="both"/>
        <w:rPr>
          <w:rFonts w:ascii="Arial" w:hAnsi="Arial" w:cs="Arial"/>
        </w:rPr>
      </w:pPr>
      <w:r w:rsidRPr="0029714F">
        <w:rPr>
          <w:rFonts w:ascii="Arial" w:hAnsi="Arial" w:cs="Arial"/>
        </w:rPr>
        <w:t>Compensation for senior management is comprised of base salary, short-term cash incentives, and a mid- term incentive plan.  Base salary is reviewed for all colleagues annually and as required by market conditions.</w:t>
      </w:r>
    </w:p>
    <w:p w14:paraId="2BA6E160" w14:textId="77777777" w:rsidR="009E309B" w:rsidRPr="0029714F" w:rsidRDefault="009E309B" w:rsidP="009E309B">
      <w:pPr>
        <w:pStyle w:val="Default"/>
        <w:jc w:val="both"/>
        <w:rPr>
          <w:rFonts w:ascii="Arial" w:hAnsi="Arial" w:cs="Arial"/>
        </w:rPr>
      </w:pPr>
    </w:p>
    <w:p w14:paraId="3C20E7F5" w14:textId="77777777" w:rsidR="009E309B" w:rsidRPr="0029714F" w:rsidRDefault="009E309B" w:rsidP="009E309B">
      <w:pPr>
        <w:pStyle w:val="Default"/>
        <w:jc w:val="both"/>
        <w:rPr>
          <w:rFonts w:ascii="Arial" w:hAnsi="Arial" w:cs="Arial"/>
        </w:rPr>
      </w:pPr>
      <w:r w:rsidRPr="0029714F">
        <w:rPr>
          <w:rFonts w:ascii="Arial" w:hAnsi="Arial" w:cs="Arial"/>
        </w:rPr>
        <w:t>All material risk takers are members of the Bank’s senior management team consisting of 5 associates.</w:t>
      </w:r>
    </w:p>
    <w:p w14:paraId="556F71CD" w14:textId="77777777" w:rsidR="009E309B" w:rsidRPr="0029714F" w:rsidRDefault="009E309B" w:rsidP="009E309B">
      <w:pPr>
        <w:pStyle w:val="Default"/>
        <w:jc w:val="both"/>
        <w:rPr>
          <w:rFonts w:ascii="Times New Roman" w:hAnsi="Times New Roman" w:cs="Times New Roman"/>
          <w:b/>
          <w:bCs/>
        </w:rPr>
      </w:pPr>
    </w:p>
    <w:p w14:paraId="2F6DB079" w14:textId="77777777" w:rsidR="009E309B" w:rsidRPr="0029714F" w:rsidRDefault="009E309B" w:rsidP="009E309B">
      <w:pPr>
        <w:pStyle w:val="Default"/>
        <w:jc w:val="both"/>
        <w:rPr>
          <w:rFonts w:ascii="Arial" w:hAnsi="Arial" w:cs="Arial"/>
          <w:b/>
          <w:bCs/>
        </w:rPr>
      </w:pPr>
      <w:r w:rsidRPr="0029714F">
        <w:rPr>
          <w:rFonts w:ascii="Arial" w:hAnsi="Arial" w:cs="Arial"/>
          <w:b/>
          <w:bCs/>
        </w:rPr>
        <w:t xml:space="preserve">SHORT TERM INCENTIVE PLAN </w:t>
      </w:r>
    </w:p>
    <w:p w14:paraId="1E17D41F" w14:textId="77777777" w:rsidR="009E309B" w:rsidRPr="0029714F" w:rsidRDefault="009E309B" w:rsidP="009E309B">
      <w:pPr>
        <w:pStyle w:val="Default"/>
        <w:jc w:val="both"/>
        <w:rPr>
          <w:rFonts w:ascii="Arial" w:hAnsi="Arial" w:cs="Arial"/>
        </w:rPr>
      </w:pPr>
    </w:p>
    <w:p w14:paraId="13316BA7" w14:textId="77777777" w:rsidR="009E309B" w:rsidRPr="0029714F" w:rsidRDefault="009E309B" w:rsidP="009E309B">
      <w:pPr>
        <w:pStyle w:val="Default"/>
        <w:jc w:val="both"/>
        <w:rPr>
          <w:rFonts w:ascii="Arial" w:hAnsi="Arial" w:cs="Arial"/>
        </w:rPr>
      </w:pPr>
      <w:r w:rsidRPr="0029714F">
        <w:rPr>
          <w:rFonts w:ascii="Arial" w:hAnsi="Arial" w:cs="Arial"/>
        </w:rPr>
        <w:t>The Bank’s short-term incentive plan is called the Annual Incent</w:t>
      </w:r>
      <w:r>
        <w:rPr>
          <w:rFonts w:ascii="Arial" w:hAnsi="Arial" w:cs="Arial"/>
        </w:rPr>
        <w:t>i</w:t>
      </w:r>
      <w:r w:rsidRPr="0029714F">
        <w:rPr>
          <w:rFonts w:ascii="Arial" w:hAnsi="Arial" w:cs="Arial"/>
        </w:rPr>
        <w:t xml:space="preserve">ve Plan (AIP) and is designed to motivate senior management to meet annual business and financial objectives.  It is a variable, cash-based, incentive plan. </w:t>
      </w:r>
    </w:p>
    <w:p w14:paraId="69FB9698" w14:textId="77777777" w:rsidR="009E309B" w:rsidRPr="0029714F" w:rsidRDefault="009E309B" w:rsidP="009E309B">
      <w:pPr>
        <w:pStyle w:val="Default"/>
        <w:jc w:val="both"/>
        <w:rPr>
          <w:rFonts w:ascii="Arial" w:hAnsi="Arial" w:cs="Arial"/>
        </w:rPr>
      </w:pPr>
    </w:p>
    <w:p w14:paraId="73CD3682" w14:textId="09E152FF" w:rsidR="009E309B" w:rsidRDefault="009E309B" w:rsidP="009E309B">
      <w:pPr>
        <w:pStyle w:val="Default"/>
        <w:jc w:val="both"/>
        <w:rPr>
          <w:rFonts w:ascii="Arial" w:hAnsi="Arial" w:cs="Arial"/>
        </w:rPr>
      </w:pPr>
      <w:r w:rsidRPr="0029714F">
        <w:rPr>
          <w:rFonts w:ascii="Arial" w:hAnsi="Arial" w:cs="Arial"/>
        </w:rPr>
        <w:t>Every fiscal year, the business results are measured against specific financial and performance goals.  To avoid inappropriate risks, senior management’s AIP is based on the financial performance against a variety of measures</w:t>
      </w:r>
      <w:r w:rsidR="00620D22">
        <w:rPr>
          <w:rFonts w:ascii="Arial" w:hAnsi="Arial" w:cs="Arial"/>
        </w:rPr>
        <w:t>.</w:t>
      </w:r>
      <w:r w:rsidR="00104780">
        <w:rPr>
          <w:rFonts w:ascii="Arial" w:hAnsi="Arial" w:cs="Arial"/>
        </w:rPr>
        <w:t xml:space="preserve"> </w:t>
      </w:r>
      <w:r w:rsidRPr="0029714F">
        <w:rPr>
          <w:rFonts w:ascii="Arial" w:hAnsi="Arial" w:cs="Arial"/>
        </w:rPr>
        <w:t xml:space="preserve">This all-encompassing approach to bonus compensation ensures alignment across the senior management team and avoids risks that arise when senior management personnel have isolated performance targets. </w:t>
      </w:r>
      <w:r>
        <w:rPr>
          <w:rFonts w:ascii="Arial" w:hAnsi="Arial" w:cs="Arial"/>
        </w:rPr>
        <w:t>T</w:t>
      </w:r>
      <w:r w:rsidRPr="0029714F">
        <w:rPr>
          <w:rFonts w:ascii="Arial" w:hAnsi="Arial" w:cs="Arial"/>
        </w:rPr>
        <w:t xml:space="preserve">he control and oversight functions within the Bank have objectives consistent with </w:t>
      </w:r>
      <w:r>
        <w:rPr>
          <w:rFonts w:ascii="Arial" w:hAnsi="Arial" w:cs="Arial"/>
        </w:rPr>
        <w:t>their mandates.</w:t>
      </w:r>
    </w:p>
    <w:p w14:paraId="35B829F9" w14:textId="77777777" w:rsidR="00104780" w:rsidRPr="0029714F" w:rsidRDefault="00104780" w:rsidP="009E309B">
      <w:pPr>
        <w:pStyle w:val="Default"/>
        <w:jc w:val="both"/>
        <w:rPr>
          <w:rFonts w:ascii="Arial" w:hAnsi="Arial" w:cs="Arial"/>
        </w:rPr>
      </w:pPr>
    </w:p>
    <w:p w14:paraId="22B10BA5" w14:textId="77777777" w:rsidR="009E309B" w:rsidRDefault="009E309B" w:rsidP="009E309B">
      <w:pPr>
        <w:pStyle w:val="Default"/>
        <w:jc w:val="both"/>
        <w:rPr>
          <w:rFonts w:ascii="Arial" w:hAnsi="Arial" w:cs="Arial"/>
        </w:rPr>
      </w:pPr>
      <w:r w:rsidRPr="0029714F">
        <w:rPr>
          <w:rFonts w:ascii="Arial" w:hAnsi="Arial" w:cs="Arial"/>
        </w:rPr>
        <w:t xml:space="preserve">The AIP is a self-funded program that is expressed as a percentage of base salary determined by position and level within the organization. Depending on actual performance relative to set performance targets, cash payouts range from zero to the maximum target within each range. </w:t>
      </w:r>
    </w:p>
    <w:p w14:paraId="7D187A80" w14:textId="77777777" w:rsidR="009E309B" w:rsidRPr="0029714F" w:rsidRDefault="009E309B" w:rsidP="009E309B">
      <w:pPr>
        <w:pStyle w:val="Default"/>
        <w:jc w:val="both"/>
        <w:rPr>
          <w:rFonts w:ascii="Arial" w:hAnsi="Arial" w:cs="Arial"/>
        </w:rPr>
      </w:pPr>
    </w:p>
    <w:p w14:paraId="2F207E3B" w14:textId="77777777" w:rsidR="009E309B" w:rsidRPr="0029714F" w:rsidRDefault="009E309B" w:rsidP="009E309B">
      <w:pPr>
        <w:pStyle w:val="Default"/>
        <w:jc w:val="both"/>
        <w:rPr>
          <w:rFonts w:ascii="Arial" w:hAnsi="Arial" w:cs="Arial"/>
        </w:rPr>
      </w:pPr>
    </w:p>
    <w:p w14:paraId="0C976F7C" w14:textId="79F26BF5" w:rsidR="009E309B" w:rsidRDefault="009E309B" w:rsidP="009E309B">
      <w:pPr>
        <w:pStyle w:val="Default"/>
        <w:jc w:val="both"/>
        <w:rPr>
          <w:rFonts w:ascii="Arial" w:hAnsi="Arial" w:cs="Arial"/>
        </w:rPr>
      </w:pPr>
    </w:p>
    <w:p w14:paraId="642489C4" w14:textId="2046EDEF" w:rsidR="00BB26C1" w:rsidRDefault="00BB26C1" w:rsidP="009E309B">
      <w:pPr>
        <w:pStyle w:val="Default"/>
        <w:jc w:val="both"/>
        <w:rPr>
          <w:rFonts w:ascii="Arial" w:hAnsi="Arial" w:cs="Arial"/>
        </w:rPr>
      </w:pPr>
    </w:p>
    <w:p w14:paraId="5C229C40" w14:textId="77777777" w:rsidR="00C94DB3" w:rsidRDefault="00C94DB3" w:rsidP="009E309B">
      <w:pPr>
        <w:pStyle w:val="Default"/>
        <w:jc w:val="both"/>
        <w:rPr>
          <w:rFonts w:ascii="Arial" w:hAnsi="Arial" w:cs="Arial"/>
        </w:rPr>
      </w:pPr>
    </w:p>
    <w:p w14:paraId="1258D383" w14:textId="74B6FADD" w:rsidR="00BB26C1" w:rsidRDefault="00BB26C1" w:rsidP="009E309B">
      <w:pPr>
        <w:pStyle w:val="Default"/>
        <w:jc w:val="both"/>
        <w:rPr>
          <w:rFonts w:ascii="Arial" w:hAnsi="Arial" w:cs="Arial"/>
        </w:rPr>
      </w:pPr>
    </w:p>
    <w:p w14:paraId="2AC2EBEB" w14:textId="12E16520" w:rsidR="00BB26C1" w:rsidRDefault="00BB26C1" w:rsidP="009E309B">
      <w:pPr>
        <w:pStyle w:val="Default"/>
        <w:jc w:val="both"/>
        <w:rPr>
          <w:rFonts w:ascii="Arial" w:hAnsi="Arial" w:cs="Arial"/>
        </w:rPr>
      </w:pPr>
    </w:p>
    <w:p w14:paraId="6BF12C6D" w14:textId="77777777" w:rsidR="00BB26C1" w:rsidRPr="0029714F" w:rsidRDefault="00BB26C1" w:rsidP="009E309B">
      <w:pPr>
        <w:pStyle w:val="Default"/>
        <w:jc w:val="both"/>
        <w:rPr>
          <w:rFonts w:ascii="Arial" w:hAnsi="Arial" w:cs="Arial"/>
        </w:rPr>
      </w:pPr>
    </w:p>
    <w:p w14:paraId="1A6EDC35" w14:textId="1B4D020C" w:rsidR="009E309B" w:rsidRPr="0029714F" w:rsidRDefault="009E309B" w:rsidP="009E309B">
      <w:pPr>
        <w:pStyle w:val="Default"/>
        <w:jc w:val="both"/>
        <w:rPr>
          <w:rFonts w:ascii="Arial" w:hAnsi="Arial" w:cs="Arial"/>
          <w:b/>
          <w:bCs/>
        </w:rPr>
      </w:pPr>
      <w:r w:rsidRPr="0029714F">
        <w:rPr>
          <w:rFonts w:ascii="Arial" w:hAnsi="Arial" w:cs="Arial"/>
          <w:b/>
          <w:bCs/>
        </w:rPr>
        <w:lastRenderedPageBreak/>
        <w:br/>
        <w:t>MID-TERM INCENTIVE PLAN</w:t>
      </w:r>
    </w:p>
    <w:p w14:paraId="2A02AAE2" w14:textId="77777777" w:rsidR="009E309B" w:rsidRPr="0029714F" w:rsidRDefault="009E309B" w:rsidP="009E309B">
      <w:pPr>
        <w:pStyle w:val="Default"/>
        <w:jc w:val="both"/>
        <w:rPr>
          <w:rFonts w:ascii="Arial" w:hAnsi="Arial" w:cs="Arial"/>
        </w:rPr>
      </w:pPr>
    </w:p>
    <w:p w14:paraId="43625A79" w14:textId="77777777" w:rsidR="009E309B" w:rsidRPr="0029714F" w:rsidRDefault="009E309B" w:rsidP="009E309B">
      <w:pPr>
        <w:pStyle w:val="Default"/>
        <w:jc w:val="both"/>
        <w:rPr>
          <w:rFonts w:ascii="Arial" w:hAnsi="Arial" w:cs="Arial"/>
        </w:rPr>
      </w:pPr>
      <w:r w:rsidRPr="0029714F">
        <w:rPr>
          <w:rFonts w:ascii="Arial" w:hAnsi="Arial" w:cs="Arial"/>
        </w:rPr>
        <w:t>The Bank’s mid- term incentive plan (MTIP) is part of senior management’s overall compensation structure. Senior management participates in a cash</w:t>
      </w:r>
      <w:r>
        <w:rPr>
          <w:rFonts w:ascii="Arial" w:hAnsi="Arial" w:cs="Arial"/>
        </w:rPr>
        <w:t xml:space="preserve"> </w:t>
      </w:r>
      <w:r w:rsidRPr="0029714F">
        <w:rPr>
          <w:rFonts w:ascii="Arial" w:hAnsi="Arial" w:cs="Arial"/>
        </w:rPr>
        <w:t>based MTIP program, which vests and pays over 3 years. Awards granted in April of the base year (</w:t>
      </w:r>
      <w:proofErr w:type="spellStart"/>
      <w:r w:rsidRPr="0029714F">
        <w:rPr>
          <w:rFonts w:ascii="Arial" w:hAnsi="Arial" w:cs="Arial"/>
        </w:rPr>
        <w:t>eg</w:t>
      </w:r>
      <w:proofErr w:type="spellEnd"/>
      <w:r w:rsidRPr="0029714F">
        <w:rPr>
          <w:rFonts w:ascii="Arial" w:hAnsi="Arial" w:cs="Arial"/>
        </w:rPr>
        <w:t xml:space="preserve"> 2019) would pay out in cash in December 2021 per the plan rules.</w:t>
      </w:r>
      <w:r>
        <w:rPr>
          <w:rFonts w:ascii="Arial" w:hAnsi="Arial" w:cs="Arial"/>
        </w:rPr>
        <w:t xml:space="preserve">  Awards are granted based on a percentage of salary and financial performance against annual objectives.  Payout is based on 3-year trailing Return on Equity results applied to the original grant amount.</w:t>
      </w:r>
    </w:p>
    <w:p w14:paraId="2F359A8A" w14:textId="77777777" w:rsidR="009E309B" w:rsidRPr="0029714F" w:rsidRDefault="009E309B" w:rsidP="009E309B">
      <w:pPr>
        <w:rPr>
          <w:lang w:val="en-US"/>
        </w:rPr>
      </w:pPr>
    </w:p>
    <w:p w14:paraId="7ACD5024" w14:textId="77777777" w:rsidR="009E309B" w:rsidRDefault="009E309B" w:rsidP="009E309B">
      <w:pPr>
        <w:pStyle w:val="textnotes"/>
        <w:rPr>
          <w:rFonts w:ascii="Arial" w:hAnsi="Arial" w:cs="Arial"/>
          <w:sz w:val="24"/>
          <w:szCs w:val="24"/>
          <w:lang w:val="en-CA"/>
        </w:rPr>
      </w:pPr>
    </w:p>
    <w:p w14:paraId="31887C7A" w14:textId="77777777" w:rsidR="009E309B" w:rsidRDefault="009E309B" w:rsidP="009E309B">
      <w:pPr>
        <w:pStyle w:val="textnotes"/>
        <w:rPr>
          <w:rFonts w:ascii="Arial" w:hAnsi="Arial" w:cs="Arial"/>
          <w:sz w:val="24"/>
          <w:szCs w:val="24"/>
          <w:lang w:val="en-CA"/>
        </w:rPr>
      </w:pPr>
      <w:r>
        <w:rPr>
          <w:rFonts w:ascii="Arial" w:hAnsi="Arial" w:cs="Arial"/>
          <w:sz w:val="24"/>
          <w:szCs w:val="24"/>
          <w:lang w:val="en-CA"/>
        </w:rPr>
        <w:t>Compensation Table:</w:t>
      </w:r>
    </w:p>
    <w:p w14:paraId="5C1C107D" w14:textId="77777777" w:rsidR="009E309B" w:rsidRPr="0029714F" w:rsidRDefault="009E309B" w:rsidP="009E309B">
      <w:pPr>
        <w:pStyle w:val="textnotes"/>
        <w:rPr>
          <w:rFonts w:ascii="Arial" w:hAnsi="Arial" w:cs="Arial"/>
          <w:sz w:val="24"/>
          <w:szCs w:val="24"/>
          <w:lang w:val="en-CA"/>
        </w:rPr>
      </w:pPr>
      <w:r>
        <w:rPr>
          <w:rFonts w:ascii="Arial" w:hAnsi="Arial" w:cs="Arial"/>
          <w:sz w:val="24"/>
          <w:szCs w:val="24"/>
          <w:lang w:val="en-CA"/>
        </w:rPr>
        <w:t xml:space="preserve">Due to the size of the organization and to protect confidentiality, the total organization numbers are provided below: </w:t>
      </w:r>
    </w:p>
    <w:p w14:paraId="3BB15FC8" w14:textId="77777777" w:rsidR="009E309B" w:rsidRPr="0029714F" w:rsidRDefault="009E309B" w:rsidP="009E309B">
      <w:pPr>
        <w:pStyle w:val="textnotes"/>
        <w:rPr>
          <w:rFonts w:ascii="Arial" w:hAnsi="Arial" w:cs="Arial"/>
          <w:sz w:val="24"/>
          <w:szCs w:val="24"/>
          <w:lang w:val="en-CA"/>
        </w:rPr>
      </w:pPr>
    </w:p>
    <w:p w14:paraId="1EB4435D" w14:textId="77777777" w:rsidR="009E309B" w:rsidRPr="0029714F" w:rsidRDefault="009E309B" w:rsidP="009E309B">
      <w:pPr>
        <w:pStyle w:val="textnotes"/>
        <w:rPr>
          <w:lang w:val="en-CA"/>
        </w:rPr>
      </w:pPr>
    </w:p>
    <w:p w14:paraId="04891A1C" w14:textId="77777777" w:rsidR="009E309B" w:rsidRDefault="009E309B" w:rsidP="009E309B">
      <w:pPr>
        <w:pStyle w:val="textnotes"/>
        <w:rPr>
          <w:lang w:val="en-CA"/>
        </w:rPr>
      </w:pPr>
    </w:p>
    <w:p w14:paraId="1ABB570D" w14:textId="77777777" w:rsidR="009E309B" w:rsidRDefault="009E309B" w:rsidP="009E309B">
      <w:pPr>
        <w:pStyle w:val="textnotes"/>
        <w:rPr>
          <w:lang w:val="en-CA"/>
        </w:rPr>
      </w:pPr>
    </w:p>
    <w:tbl>
      <w:tblPr>
        <w:tblW w:w="9350" w:type="dxa"/>
        <w:tblLook w:val="04A0" w:firstRow="1" w:lastRow="0" w:firstColumn="1" w:lastColumn="0" w:noHBand="0" w:noVBand="1"/>
      </w:tblPr>
      <w:tblGrid>
        <w:gridCol w:w="2482"/>
        <w:gridCol w:w="852"/>
        <w:gridCol w:w="851"/>
        <w:gridCol w:w="266"/>
        <w:gridCol w:w="2658"/>
        <w:gridCol w:w="266"/>
        <w:gridCol w:w="1943"/>
        <w:gridCol w:w="266"/>
      </w:tblGrid>
      <w:tr w:rsidR="009915ED" w:rsidRPr="009915ED" w14:paraId="596DC8F8" w14:textId="77777777" w:rsidTr="009915ED">
        <w:trPr>
          <w:trHeight w:val="29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ADE44" w14:textId="77777777" w:rsidR="009915ED" w:rsidRPr="009915ED" w:rsidRDefault="009915ED" w:rsidP="009915ED">
            <w:pPr>
              <w:jc w:val="center"/>
              <w:rPr>
                <w:rFonts w:ascii="Calibri" w:hAnsi="Calibri"/>
                <w:color w:val="000000"/>
                <w:sz w:val="22"/>
                <w:szCs w:val="22"/>
              </w:rPr>
            </w:pPr>
            <w:r w:rsidRPr="009915ED">
              <w:rPr>
                <w:rFonts w:ascii="Calibri" w:hAnsi="Calibri"/>
                <w:color w:val="000000"/>
                <w:sz w:val="22"/>
                <w:szCs w:val="22"/>
              </w:rPr>
              <w:t xml:space="preserve">Year ending Dec. 31, 2019 for Total organization </w:t>
            </w:r>
          </w:p>
        </w:tc>
      </w:tr>
      <w:tr w:rsidR="009915ED" w:rsidRPr="009915ED" w14:paraId="4EE01AB8" w14:textId="77777777" w:rsidTr="009915ED">
        <w:trPr>
          <w:trHeight w:val="290"/>
        </w:trPr>
        <w:tc>
          <w:tcPr>
            <w:tcW w:w="2482" w:type="dxa"/>
            <w:tcBorders>
              <w:top w:val="nil"/>
              <w:left w:val="nil"/>
              <w:bottom w:val="nil"/>
              <w:right w:val="nil"/>
            </w:tcBorders>
            <w:shd w:val="clear" w:color="000000" w:fill="FFFFFF"/>
            <w:noWrap/>
            <w:vAlign w:val="center"/>
            <w:hideMark/>
          </w:tcPr>
          <w:p w14:paraId="63C3AC01"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852" w:type="dxa"/>
            <w:tcBorders>
              <w:top w:val="nil"/>
              <w:left w:val="nil"/>
              <w:bottom w:val="nil"/>
              <w:right w:val="nil"/>
            </w:tcBorders>
            <w:shd w:val="clear" w:color="000000" w:fill="FFFFFF"/>
            <w:noWrap/>
            <w:vAlign w:val="center"/>
            <w:hideMark/>
          </w:tcPr>
          <w:p w14:paraId="64AAA15D"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851" w:type="dxa"/>
            <w:tcBorders>
              <w:top w:val="nil"/>
              <w:left w:val="nil"/>
              <w:bottom w:val="nil"/>
              <w:right w:val="nil"/>
            </w:tcBorders>
            <w:shd w:val="clear" w:color="000000" w:fill="FFFFFF"/>
            <w:noWrap/>
            <w:vAlign w:val="center"/>
            <w:hideMark/>
          </w:tcPr>
          <w:p w14:paraId="00FD686C"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149B9F79"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2658" w:type="dxa"/>
            <w:tcBorders>
              <w:top w:val="nil"/>
              <w:left w:val="nil"/>
              <w:bottom w:val="nil"/>
              <w:right w:val="nil"/>
            </w:tcBorders>
            <w:shd w:val="clear" w:color="000000" w:fill="FFFFFF"/>
            <w:noWrap/>
            <w:vAlign w:val="center"/>
            <w:hideMark/>
          </w:tcPr>
          <w:p w14:paraId="3141AD31"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3F9DF3AD"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943" w:type="dxa"/>
            <w:tcBorders>
              <w:top w:val="nil"/>
              <w:left w:val="nil"/>
              <w:bottom w:val="nil"/>
              <w:right w:val="nil"/>
            </w:tcBorders>
            <w:shd w:val="clear" w:color="000000" w:fill="FFFFFF"/>
            <w:noWrap/>
            <w:vAlign w:val="center"/>
            <w:hideMark/>
          </w:tcPr>
          <w:p w14:paraId="2999FEE4"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13D4341E"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r>
      <w:tr w:rsidR="009915ED" w:rsidRPr="009915ED" w14:paraId="0848C706" w14:textId="77777777" w:rsidTr="009915ED">
        <w:trPr>
          <w:trHeight w:val="290"/>
        </w:trPr>
        <w:tc>
          <w:tcPr>
            <w:tcW w:w="3334" w:type="dxa"/>
            <w:gridSpan w:val="2"/>
            <w:tcBorders>
              <w:top w:val="nil"/>
              <w:left w:val="nil"/>
              <w:bottom w:val="nil"/>
              <w:right w:val="nil"/>
            </w:tcBorders>
            <w:shd w:val="clear" w:color="000000" w:fill="FFFFFF"/>
            <w:noWrap/>
            <w:vAlign w:val="center"/>
            <w:hideMark/>
          </w:tcPr>
          <w:p w14:paraId="066DEB0D"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Variable remuneration (000)</w:t>
            </w:r>
          </w:p>
        </w:tc>
        <w:tc>
          <w:tcPr>
            <w:tcW w:w="851" w:type="dxa"/>
            <w:tcBorders>
              <w:top w:val="nil"/>
              <w:left w:val="nil"/>
              <w:bottom w:val="nil"/>
              <w:right w:val="nil"/>
            </w:tcBorders>
            <w:shd w:val="clear" w:color="000000" w:fill="FFFFFF"/>
            <w:noWrap/>
            <w:vAlign w:val="center"/>
            <w:hideMark/>
          </w:tcPr>
          <w:p w14:paraId="41DEFBE8"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2272D73D"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2658" w:type="dxa"/>
            <w:tcBorders>
              <w:top w:val="nil"/>
              <w:left w:val="nil"/>
              <w:bottom w:val="nil"/>
              <w:right w:val="nil"/>
            </w:tcBorders>
            <w:shd w:val="clear" w:color="000000" w:fill="FFFFFF"/>
            <w:noWrap/>
            <w:vAlign w:val="center"/>
            <w:hideMark/>
          </w:tcPr>
          <w:p w14:paraId="2AB7FE7A" w14:textId="77777777" w:rsidR="009915ED" w:rsidRPr="009915ED" w:rsidRDefault="009915ED" w:rsidP="009915ED">
            <w:pPr>
              <w:jc w:val="right"/>
              <w:rPr>
                <w:rFonts w:ascii="Calibri" w:hAnsi="Calibri"/>
                <w:color w:val="000000"/>
                <w:sz w:val="22"/>
                <w:szCs w:val="22"/>
                <w:u w:val="single"/>
              </w:rPr>
            </w:pPr>
            <w:r w:rsidRPr="009915ED">
              <w:rPr>
                <w:rFonts w:ascii="Calibri" w:hAnsi="Calibri"/>
                <w:color w:val="000000"/>
                <w:sz w:val="22"/>
                <w:szCs w:val="22"/>
                <w:u w:val="single"/>
              </w:rPr>
              <w:t>Unrestricted</w:t>
            </w:r>
          </w:p>
        </w:tc>
        <w:tc>
          <w:tcPr>
            <w:tcW w:w="188" w:type="dxa"/>
            <w:tcBorders>
              <w:top w:val="nil"/>
              <w:left w:val="nil"/>
              <w:bottom w:val="nil"/>
              <w:right w:val="nil"/>
            </w:tcBorders>
            <w:shd w:val="clear" w:color="000000" w:fill="FFFFFF"/>
            <w:noWrap/>
            <w:vAlign w:val="center"/>
            <w:hideMark/>
          </w:tcPr>
          <w:p w14:paraId="6FAA5473"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943" w:type="dxa"/>
            <w:tcBorders>
              <w:top w:val="nil"/>
              <w:left w:val="nil"/>
              <w:bottom w:val="nil"/>
              <w:right w:val="nil"/>
            </w:tcBorders>
            <w:shd w:val="clear" w:color="000000" w:fill="FFFFFF"/>
            <w:noWrap/>
            <w:vAlign w:val="center"/>
            <w:hideMark/>
          </w:tcPr>
          <w:p w14:paraId="7476C094" w14:textId="77777777" w:rsidR="009915ED" w:rsidRPr="009915ED" w:rsidRDefault="009915ED" w:rsidP="009915ED">
            <w:pPr>
              <w:jc w:val="right"/>
              <w:rPr>
                <w:rFonts w:ascii="Calibri" w:hAnsi="Calibri"/>
                <w:color w:val="000000"/>
                <w:sz w:val="22"/>
                <w:szCs w:val="22"/>
                <w:u w:val="single"/>
              </w:rPr>
            </w:pPr>
            <w:r w:rsidRPr="009915ED">
              <w:rPr>
                <w:rFonts w:ascii="Calibri" w:hAnsi="Calibri"/>
                <w:color w:val="000000"/>
                <w:sz w:val="22"/>
                <w:szCs w:val="22"/>
                <w:u w:val="single"/>
              </w:rPr>
              <w:t>Deferred</w:t>
            </w:r>
          </w:p>
        </w:tc>
        <w:tc>
          <w:tcPr>
            <w:tcW w:w="188" w:type="dxa"/>
            <w:tcBorders>
              <w:top w:val="nil"/>
              <w:left w:val="nil"/>
              <w:bottom w:val="nil"/>
              <w:right w:val="nil"/>
            </w:tcBorders>
            <w:shd w:val="clear" w:color="000000" w:fill="FFFFFF"/>
            <w:noWrap/>
            <w:vAlign w:val="center"/>
            <w:hideMark/>
          </w:tcPr>
          <w:p w14:paraId="0AC6D0E6"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r>
      <w:tr w:rsidR="009915ED" w:rsidRPr="009915ED" w14:paraId="701B70E7" w14:textId="77777777" w:rsidTr="009915ED">
        <w:trPr>
          <w:trHeight w:val="290"/>
        </w:trPr>
        <w:tc>
          <w:tcPr>
            <w:tcW w:w="2482" w:type="dxa"/>
            <w:tcBorders>
              <w:top w:val="nil"/>
              <w:left w:val="nil"/>
              <w:bottom w:val="nil"/>
              <w:right w:val="nil"/>
            </w:tcBorders>
            <w:shd w:val="clear" w:color="000000" w:fill="FFFFFF"/>
            <w:noWrap/>
            <w:vAlign w:val="center"/>
            <w:hideMark/>
          </w:tcPr>
          <w:p w14:paraId="6B07DEE2"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Short-term:</w:t>
            </w:r>
          </w:p>
        </w:tc>
        <w:tc>
          <w:tcPr>
            <w:tcW w:w="1703" w:type="dxa"/>
            <w:gridSpan w:val="2"/>
            <w:tcBorders>
              <w:top w:val="nil"/>
              <w:left w:val="nil"/>
              <w:bottom w:val="nil"/>
              <w:right w:val="nil"/>
            </w:tcBorders>
            <w:shd w:val="clear" w:color="000000" w:fill="FFFFFF"/>
            <w:noWrap/>
            <w:vAlign w:val="center"/>
            <w:hideMark/>
          </w:tcPr>
          <w:p w14:paraId="27FE7CAA"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Annual Incentive Plan</w:t>
            </w:r>
          </w:p>
        </w:tc>
        <w:tc>
          <w:tcPr>
            <w:tcW w:w="188" w:type="dxa"/>
            <w:tcBorders>
              <w:top w:val="nil"/>
              <w:left w:val="nil"/>
              <w:bottom w:val="nil"/>
              <w:right w:val="nil"/>
            </w:tcBorders>
            <w:shd w:val="clear" w:color="000000" w:fill="FFFFFF"/>
            <w:noWrap/>
            <w:vAlign w:val="center"/>
            <w:hideMark/>
          </w:tcPr>
          <w:p w14:paraId="69014346"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2658" w:type="dxa"/>
            <w:tcBorders>
              <w:top w:val="nil"/>
              <w:left w:val="nil"/>
              <w:bottom w:val="nil"/>
              <w:right w:val="nil"/>
            </w:tcBorders>
            <w:shd w:val="clear" w:color="000000" w:fill="FFFFFF"/>
            <w:noWrap/>
            <w:vAlign w:val="center"/>
            <w:hideMark/>
          </w:tcPr>
          <w:p w14:paraId="707EB323"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xml:space="preserve"> $   1,274 </w:t>
            </w:r>
          </w:p>
        </w:tc>
        <w:tc>
          <w:tcPr>
            <w:tcW w:w="188" w:type="dxa"/>
            <w:tcBorders>
              <w:top w:val="nil"/>
              <w:left w:val="nil"/>
              <w:bottom w:val="nil"/>
              <w:right w:val="nil"/>
            </w:tcBorders>
            <w:shd w:val="clear" w:color="000000" w:fill="FFFFFF"/>
            <w:noWrap/>
            <w:vAlign w:val="center"/>
            <w:hideMark/>
          </w:tcPr>
          <w:p w14:paraId="47AB3655"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943" w:type="dxa"/>
            <w:tcBorders>
              <w:top w:val="nil"/>
              <w:left w:val="nil"/>
              <w:bottom w:val="nil"/>
              <w:right w:val="nil"/>
            </w:tcBorders>
            <w:shd w:val="clear" w:color="000000" w:fill="FFFFFF"/>
            <w:noWrap/>
            <w:vAlign w:val="center"/>
            <w:hideMark/>
          </w:tcPr>
          <w:p w14:paraId="0E503505"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360EC800"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r>
      <w:tr w:rsidR="009915ED" w:rsidRPr="009915ED" w14:paraId="4FA0F654" w14:textId="77777777" w:rsidTr="009915ED">
        <w:trPr>
          <w:trHeight w:val="290"/>
        </w:trPr>
        <w:tc>
          <w:tcPr>
            <w:tcW w:w="2482" w:type="dxa"/>
            <w:tcBorders>
              <w:top w:val="nil"/>
              <w:left w:val="nil"/>
              <w:bottom w:val="nil"/>
              <w:right w:val="nil"/>
            </w:tcBorders>
            <w:shd w:val="clear" w:color="000000" w:fill="FFFFFF"/>
            <w:noWrap/>
            <w:vAlign w:val="center"/>
            <w:hideMark/>
          </w:tcPr>
          <w:p w14:paraId="67C74401"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Mid-term:</w:t>
            </w:r>
          </w:p>
        </w:tc>
        <w:tc>
          <w:tcPr>
            <w:tcW w:w="1703" w:type="dxa"/>
            <w:gridSpan w:val="2"/>
            <w:tcBorders>
              <w:top w:val="nil"/>
              <w:left w:val="nil"/>
              <w:bottom w:val="nil"/>
              <w:right w:val="nil"/>
            </w:tcBorders>
            <w:shd w:val="clear" w:color="000000" w:fill="FFFFFF"/>
            <w:noWrap/>
            <w:vAlign w:val="center"/>
            <w:hideMark/>
          </w:tcPr>
          <w:p w14:paraId="6288BE64"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MTIP (2019)</w:t>
            </w:r>
          </w:p>
        </w:tc>
        <w:tc>
          <w:tcPr>
            <w:tcW w:w="188" w:type="dxa"/>
            <w:tcBorders>
              <w:top w:val="nil"/>
              <w:left w:val="nil"/>
              <w:bottom w:val="nil"/>
              <w:right w:val="nil"/>
            </w:tcBorders>
            <w:shd w:val="clear" w:color="000000" w:fill="FFFFFF"/>
            <w:noWrap/>
            <w:vAlign w:val="center"/>
            <w:hideMark/>
          </w:tcPr>
          <w:p w14:paraId="32FCEEFA"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2658" w:type="dxa"/>
            <w:tcBorders>
              <w:top w:val="nil"/>
              <w:left w:val="nil"/>
              <w:bottom w:val="nil"/>
              <w:right w:val="nil"/>
            </w:tcBorders>
            <w:shd w:val="clear" w:color="000000" w:fill="FFFFFF"/>
            <w:noWrap/>
            <w:vAlign w:val="center"/>
            <w:hideMark/>
          </w:tcPr>
          <w:p w14:paraId="2C68AED5"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4707FC31"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943" w:type="dxa"/>
            <w:tcBorders>
              <w:top w:val="nil"/>
              <w:left w:val="nil"/>
              <w:bottom w:val="nil"/>
              <w:right w:val="nil"/>
            </w:tcBorders>
            <w:shd w:val="clear" w:color="000000" w:fill="FFFFFF"/>
            <w:noWrap/>
            <w:vAlign w:val="center"/>
            <w:hideMark/>
          </w:tcPr>
          <w:p w14:paraId="1862C356"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xml:space="preserve"> $   1,133 </w:t>
            </w:r>
          </w:p>
        </w:tc>
        <w:tc>
          <w:tcPr>
            <w:tcW w:w="188" w:type="dxa"/>
            <w:tcBorders>
              <w:top w:val="nil"/>
              <w:left w:val="nil"/>
              <w:bottom w:val="nil"/>
              <w:right w:val="nil"/>
            </w:tcBorders>
            <w:shd w:val="clear" w:color="000000" w:fill="FFFFFF"/>
            <w:noWrap/>
            <w:vAlign w:val="center"/>
            <w:hideMark/>
          </w:tcPr>
          <w:p w14:paraId="1FEC846C"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r>
      <w:tr w:rsidR="009915ED" w:rsidRPr="009915ED" w14:paraId="5EC30EE1" w14:textId="77777777" w:rsidTr="009915ED">
        <w:trPr>
          <w:trHeight w:val="290"/>
        </w:trPr>
        <w:tc>
          <w:tcPr>
            <w:tcW w:w="2482" w:type="dxa"/>
            <w:tcBorders>
              <w:top w:val="nil"/>
              <w:left w:val="nil"/>
              <w:bottom w:val="nil"/>
              <w:right w:val="nil"/>
            </w:tcBorders>
            <w:shd w:val="clear" w:color="000000" w:fill="FFFFFF"/>
            <w:noWrap/>
            <w:vAlign w:val="center"/>
            <w:hideMark/>
          </w:tcPr>
          <w:p w14:paraId="6D16DF36"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Legacy:</w:t>
            </w:r>
          </w:p>
        </w:tc>
        <w:tc>
          <w:tcPr>
            <w:tcW w:w="1703" w:type="dxa"/>
            <w:gridSpan w:val="2"/>
            <w:tcBorders>
              <w:top w:val="nil"/>
              <w:left w:val="nil"/>
              <w:bottom w:val="nil"/>
              <w:right w:val="nil"/>
            </w:tcBorders>
            <w:shd w:val="clear" w:color="000000" w:fill="FFFFFF"/>
            <w:noWrap/>
            <w:vAlign w:val="center"/>
            <w:hideMark/>
          </w:tcPr>
          <w:p w14:paraId="217E0DA2"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2017 and 2018</w:t>
            </w:r>
          </w:p>
        </w:tc>
        <w:tc>
          <w:tcPr>
            <w:tcW w:w="188" w:type="dxa"/>
            <w:tcBorders>
              <w:top w:val="nil"/>
              <w:left w:val="nil"/>
              <w:bottom w:val="nil"/>
              <w:right w:val="nil"/>
            </w:tcBorders>
            <w:shd w:val="clear" w:color="000000" w:fill="FFFFFF"/>
            <w:noWrap/>
            <w:vAlign w:val="center"/>
            <w:hideMark/>
          </w:tcPr>
          <w:p w14:paraId="7BDDD2CB"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2658" w:type="dxa"/>
            <w:tcBorders>
              <w:top w:val="nil"/>
              <w:left w:val="nil"/>
              <w:bottom w:val="nil"/>
              <w:right w:val="nil"/>
            </w:tcBorders>
            <w:shd w:val="clear" w:color="000000" w:fill="FFFFFF"/>
            <w:noWrap/>
            <w:vAlign w:val="center"/>
            <w:hideMark/>
          </w:tcPr>
          <w:p w14:paraId="07ECB8E0"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1F7D180F"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943" w:type="dxa"/>
            <w:tcBorders>
              <w:top w:val="nil"/>
              <w:left w:val="nil"/>
              <w:bottom w:val="nil"/>
              <w:right w:val="nil"/>
            </w:tcBorders>
            <w:shd w:val="clear" w:color="000000" w:fill="FFFFFF"/>
            <w:noWrap/>
            <w:vAlign w:val="center"/>
            <w:hideMark/>
          </w:tcPr>
          <w:p w14:paraId="1D10B125"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xml:space="preserve"> $   2,235 </w:t>
            </w:r>
          </w:p>
        </w:tc>
        <w:tc>
          <w:tcPr>
            <w:tcW w:w="188" w:type="dxa"/>
            <w:tcBorders>
              <w:top w:val="nil"/>
              <w:left w:val="nil"/>
              <w:bottom w:val="nil"/>
              <w:right w:val="nil"/>
            </w:tcBorders>
            <w:shd w:val="clear" w:color="000000" w:fill="FFFFFF"/>
            <w:noWrap/>
            <w:vAlign w:val="center"/>
            <w:hideMark/>
          </w:tcPr>
          <w:p w14:paraId="2468AD0A"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r>
      <w:tr w:rsidR="009915ED" w:rsidRPr="009915ED" w14:paraId="3DADEC3F" w14:textId="77777777" w:rsidTr="009915ED">
        <w:trPr>
          <w:trHeight w:val="290"/>
        </w:trPr>
        <w:tc>
          <w:tcPr>
            <w:tcW w:w="2482" w:type="dxa"/>
            <w:tcBorders>
              <w:top w:val="nil"/>
              <w:left w:val="nil"/>
              <w:bottom w:val="nil"/>
              <w:right w:val="nil"/>
            </w:tcBorders>
            <w:shd w:val="clear" w:color="000000" w:fill="FFFFFF"/>
            <w:noWrap/>
            <w:vAlign w:val="center"/>
            <w:hideMark/>
          </w:tcPr>
          <w:p w14:paraId="7C1EBB0E"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852" w:type="dxa"/>
            <w:tcBorders>
              <w:top w:val="nil"/>
              <w:left w:val="nil"/>
              <w:bottom w:val="nil"/>
              <w:right w:val="nil"/>
            </w:tcBorders>
            <w:shd w:val="clear" w:color="000000" w:fill="FFFFFF"/>
            <w:noWrap/>
            <w:vAlign w:val="center"/>
            <w:hideMark/>
          </w:tcPr>
          <w:p w14:paraId="41FB08D0"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851" w:type="dxa"/>
            <w:tcBorders>
              <w:top w:val="nil"/>
              <w:left w:val="nil"/>
              <w:bottom w:val="nil"/>
              <w:right w:val="nil"/>
            </w:tcBorders>
            <w:shd w:val="clear" w:color="000000" w:fill="FFFFFF"/>
            <w:noWrap/>
            <w:vAlign w:val="center"/>
            <w:hideMark/>
          </w:tcPr>
          <w:p w14:paraId="568DEFCC"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1E3555F4"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2658" w:type="dxa"/>
            <w:tcBorders>
              <w:top w:val="nil"/>
              <w:left w:val="nil"/>
              <w:bottom w:val="nil"/>
              <w:right w:val="nil"/>
            </w:tcBorders>
            <w:shd w:val="clear" w:color="000000" w:fill="FFFFFF"/>
            <w:noWrap/>
            <w:vAlign w:val="center"/>
            <w:hideMark/>
          </w:tcPr>
          <w:p w14:paraId="7F2F3A3E"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51DA5D1A"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943" w:type="dxa"/>
            <w:tcBorders>
              <w:top w:val="nil"/>
              <w:left w:val="nil"/>
              <w:bottom w:val="nil"/>
              <w:right w:val="nil"/>
            </w:tcBorders>
            <w:shd w:val="clear" w:color="000000" w:fill="FFFFFF"/>
            <w:noWrap/>
            <w:vAlign w:val="center"/>
            <w:hideMark/>
          </w:tcPr>
          <w:p w14:paraId="41327C99"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nil"/>
              <w:right w:val="nil"/>
            </w:tcBorders>
            <w:shd w:val="clear" w:color="000000" w:fill="FFFFFF"/>
            <w:noWrap/>
            <w:vAlign w:val="center"/>
            <w:hideMark/>
          </w:tcPr>
          <w:p w14:paraId="48E2BE5E"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r>
      <w:tr w:rsidR="009915ED" w:rsidRPr="009915ED" w14:paraId="45249339" w14:textId="77777777" w:rsidTr="009915ED">
        <w:trPr>
          <w:trHeight w:val="290"/>
        </w:trPr>
        <w:tc>
          <w:tcPr>
            <w:tcW w:w="2482" w:type="dxa"/>
            <w:tcBorders>
              <w:top w:val="nil"/>
              <w:left w:val="nil"/>
              <w:bottom w:val="single" w:sz="4" w:space="0" w:color="auto"/>
              <w:right w:val="nil"/>
            </w:tcBorders>
            <w:shd w:val="clear" w:color="000000" w:fill="FFFFFF"/>
            <w:noWrap/>
            <w:vAlign w:val="center"/>
            <w:hideMark/>
          </w:tcPr>
          <w:p w14:paraId="544D0D65"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852" w:type="dxa"/>
            <w:tcBorders>
              <w:top w:val="nil"/>
              <w:left w:val="nil"/>
              <w:bottom w:val="single" w:sz="4" w:space="0" w:color="auto"/>
              <w:right w:val="nil"/>
            </w:tcBorders>
            <w:shd w:val="clear" w:color="000000" w:fill="FFFFFF"/>
            <w:noWrap/>
            <w:vAlign w:val="center"/>
            <w:hideMark/>
          </w:tcPr>
          <w:p w14:paraId="2B07B3BC"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851" w:type="dxa"/>
            <w:tcBorders>
              <w:top w:val="nil"/>
              <w:left w:val="nil"/>
              <w:bottom w:val="single" w:sz="4" w:space="0" w:color="auto"/>
              <w:right w:val="nil"/>
            </w:tcBorders>
            <w:shd w:val="clear" w:color="000000" w:fill="FFFFFF"/>
            <w:noWrap/>
            <w:vAlign w:val="center"/>
            <w:hideMark/>
          </w:tcPr>
          <w:p w14:paraId="6186F72E"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single" w:sz="4" w:space="0" w:color="auto"/>
              <w:right w:val="nil"/>
            </w:tcBorders>
            <w:shd w:val="clear" w:color="000000" w:fill="FFFFFF"/>
            <w:noWrap/>
            <w:vAlign w:val="center"/>
            <w:hideMark/>
          </w:tcPr>
          <w:p w14:paraId="11C58F48"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2658" w:type="dxa"/>
            <w:tcBorders>
              <w:top w:val="nil"/>
              <w:left w:val="nil"/>
              <w:bottom w:val="single" w:sz="4" w:space="0" w:color="auto"/>
              <w:right w:val="nil"/>
            </w:tcBorders>
            <w:shd w:val="clear" w:color="000000" w:fill="FFFFFF"/>
            <w:noWrap/>
            <w:vAlign w:val="center"/>
            <w:hideMark/>
          </w:tcPr>
          <w:p w14:paraId="63168263"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single" w:sz="4" w:space="0" w:color="auto"/>
              <w:right w:val="nil"/>
            </w:tcBorders>
            <w:shd w:val="clear" w:color="000000" w:fill="FFFFFF"/>
            <w:noWrap/>
            <w:vAlign w:val="center"/>
            <w:hideMark/>
          </w:tcPr>
          <w:p w14:paraId="719509DF"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943" w:type="dxa"/>
            <w:tcBorders>
              <w:top w:val="nil"/>
              <w:left w:val="nil"/>
              <w:bottom w:val="single" w:sz="4" w:space="0" w:color="auto"/>
              <w:right w:val="nil"/>
            </w:tcBorders>
            <w:shd w:val="clear" w:color="000000" w:fill="FFFFFF"/>
            <w:noWrap/>
            <w:vAlign w:val="center"/>
            <w:hideMark/>
          </w:tcPr>
          <w:p w14:paraId="7DA89E27"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c>
          <w:tcPr>
            <w:tcW w:w="188" w:type="dxa"/>
            <w:tcBorders>
              <w:top w:val="nil"/>
              <w:left w:val="nil"/>
              <w:bottom w:val="single" w:sz="4" w:space="0" w:color="auto"/>
              <w:right w:val="nil"/>
            </w:tcBorders>
            <w:shd w:val="clear" w:color="000000" w:fill="FFFFFF"/>
            <w:noWrap/>
            <w:vAlign w:val="center"/>
            <w:hideMark/>
          </w:tcPr>
          <w:p w14:paraId="48C83EF8" w14:textId="77777777" w:rsidR="009915ED" w:rsidRPr="009915ED" w:rsidRDefault="009915ED" w:rsidP="009915ED">
            <w:pPr>
              <w:jc w:val="left"/>
              <w:rPr>
                <w:rFonts w:ascii="Calibri" w:hAnsi="Calibri"/>
                <w:color w:val="000000"/>
                <w:sz w:val="22"/>
                <w:szCs w:val="22"/>
              </w:rPr>
            </w:pPr>
            <w:r w:rsidRPr="009915ED">
              <w:rPr>
                <w:rFonts w:ascii="Calibri" w:hAnsi="Calibri"/>
                <w:color w:val="000000"/>
                <w:sz w:val="22"/>
                <w:szCs w:val="22"/>
              </w:rPr>
              <w:t> </w:t>
            </w:r>
          </w:p>
        </w:tc>
      </w:tr>
    </w:tbl>
    <w:p w14:paraId="20074E03" w14:textId="35813ACB" w:rsidR="009E309B" w:rsidRDefault="009E309B" w:rsidP="009E309B">
      <w:pPr>
        <w:rPr>
          <w:lang w:val="en-US"/>
        </w:rPr>
      </w:pPr>
    </w:p>
    <w:p w14:paraId="6BE181C5" w14:textId="0C7E36EE" w:rsidR="0015436B" w:rsidRDefault="0015436B" w:rsidP="00D37314">
      <w:pPr>
        <w:pStyle w:val="Heading1"/>
        <w:tabs>
          <w:tab w:val="left" w:pos="90"/>
        </w:tabs>
        <w:rPr>
          <w:rFonts w:ascii="Arial" w:hAnsi="Arial" w:cs="Arial"/>
        </w:rPr>
      </w:pPr>
    </w:p>
    <w:bookmarkEnd w:id="26"/>
    <w:bookmarkEnd w:id="27"/>
    <w:bookmarkEnd w:id="28"/>
    <w:bookmarkEnd w:id="29"/>
    <w:bookmarkEnd w:id="30"/>
    <w:p w14:paraId="34DD3CF9" w14:textId="45135F11" w:rsidR="0015436B" w:rsidRDefault="0015436B">
      <w:pPr>
        <w:jc w:val="left"/>
        <w:rPr>
          <w:rFonts w:ascii="Arial" w:hAnsi="Arial" w:cs="Arial"/>
          <w:b/>
          <w:lang w:val="en-US" w:eastAsia="en-US"/>
        </w:rPr>
      </w:pPr>
    </w:p>
    <w:sectPr w:rsidR="0015436B" w:rsidSect="00BF0B4E">
      <w:footerReference w:type="default" r:id="rId11"/>
      <w:pgSz w:w="12240" w:h="15840"/>
      <w:pgMar w:top="1296" w:right="1656" w:bottom="1296" w:left="165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6DDD" w14:textId="77777777" w:rsidR="0010735B" w:rsidRDefault="0010735B" w:rsidP="00E53226">
      <w:r>
        <w:separator/>
      </w:r>
    </w:p>
  </w:endnote>
  <w:endnote w:type="continuationSeparator" w:id="0">
    <w:p w14:paraId="5D0B54A4" w14:textId="77777777" w:rsidR="0010735B" w:rsidRDefault="0010735B" w:rsidP="00E53226">
      <w:r>
        <w:continuationSeparator/>
      </w:r>
    </w:p>
  </w:endnote>
  <w:endnote w:type="continuationNotice" w:id="1">
    <w:p w14:paraId="20250102" w14:textId="77777777" w:rsidR="0010735B" w:rsidRDefault="0010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927388"/>
      <w:docPartObj>
        <w:docPartGallery w:val="Page Numbers (Bottom of Page)"/>
        <w:docPartUnique/>
      </w:docPartObj>
    </w:sdtPr>
    <w:sdtEndPr>
      <w:rPr>
        <w:rFonts w:ascii="Arial" w:hAnsi="Arial" w:cs="Arial"/>
        <w:noProof/>
      </w:rPr>
    </w:sdtEndPr>
    <w:sdtContent>
      <w:p w14:paraId="50A7BC08" w14:textId="77777777" w:rsidR="00063019" w:rsidRPr="004413B6" w:rsidRDefault="00063019">
        <w:pPr>
          <w:pStyle w:val="Footer"/>
          <w:jc w:val="center"/>
          <w:rPr>
            <w:rFonts w:ascii="Arial" w:hAnsi="Arial" w:cs="Arial"/>
          </w:rPr>
        </w:pPr>
        <w:r w:rsidRPr="004413B6">
          <w:rPr>
            <w:rFonts w:ascii="Arial" w:hAnsi="Arial" w:cs="Arial"/>
          </w:rPr>
          <w:fldChar w:fldCharType="begin"/>
        </w:r>
        <w:r w:rsidRPr="004413B6">
          <w:rPr>
            <w:rFonts w:ascii="Arial" w:hAnsi="Arial" w:cs="Arial"/>
          </w:rPr>
          <w:instrText xml:space="preserve"> PAGE   \* MERGEFORMAT </w:instrText>
        </w:r>
        <w:r w:rsidRPr="004413B6">
          <w:rPr>
            <w:rFonts w:ascii="Arial" w:hAnsi="Arial" w:cs="Arial"/>
          </w:rPr>
          <w:fldChar w:fldCharType="separate"/>
        </w:r>
        <w:r>
          <w:rPr>
            <w:rFonts w:ascii="Arial" w:hAnsi="Arial" w:cs="Arial"/>
            <w:noProof/>
          </w:rPr>
          <w:t>1</w:t>
        </w:r>
        <w:r w:rsidRPr="004413B6">
          <w:rPr>
            <w:rFonts w:ascii="Arial" w:hAnsi="Arial" w:cs="Arial"/>
            <w:noProof/>
          </w:rPr>
          <w:fldChar w:fldCharType="end"/>
        </w:r>
      </w:p>
    </w:sdtContent>
  </w:sdt>
  <w:p w14:paraId="4DE56C14" w14:textId="77777777" w:rsidR="00063019" w:rsidRDefault="0006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69D7" w14:textId="77777777" w:rsidR="0010735B" w:rsidRDefault="0010735B" w:rsidP="00E53226">
      <w:r>
        <w:separator/>
      </w:r>
    </w:p>
  </w:footnote>
  <w:footnote w:type="continuationSeparator" w:id="0">
    <w:p w14:paraId="58BF6F30" w14:textId="77777777" w:rsidR="0010735B" w:rsidRDefault="0010735B" w:rsidP="00E53226">
      <w:r>
        <w:continuationSeparator/>
      </w:r>
    </w:p>
  </w:footnote>
  <w:footnote w:type="continuationNotice" w:id="1">
    <w:p w14:paraId="41310539" w14:textId="77777777" w:rsidR="0010735B" w:rsidRDefault="001073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555"/>
    <w:multiLevelType w:val="hybridMultilevel"/>
    <w:tmpl w:val="927C0BA0"/>
    <w:lvl w:ilvl="0" w:tplc="0BECC1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8561B"/>
    <w:multiLevelType w:val="hybridMultilevel"/>
    <w:tmpl w:val="61821572"/>
    <w:lvl w:ilvl="0" w:tplc="157CB64A">
      <w:start w:val="1"/>
      <w:numFmt w:val="decimal"/>
      <w:lvlText w:val="%1."/>
      <w:lvlJc w:val="left"/>
      <w:pPr>
        <w:tabs>
          <w:tab w:val="num" w:pos="360"/>
        </w:tabs>
        <w:ind w:left="360" w:hanging="360"/>
      </w:pPr>
      <w:rPr>
        <w:b/>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081B26E2"/>
    <w:multiLevelType w:val="hybridMultilevel"/>
    <w:tmpl w:val="02BAD926"/>
    <w:lvl w:ilvl="0" w:tplc="7DEA13E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8B5476A"/>
    <w:multiLevelType w:val="hybridMultilevel"/>
    <w:tmpl w:val="D7AC774A"/>
    <w:lvl w:ilvl="0" w:tplc="7DEA13E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7FD453C"/>
    <w:multiLevelType w:val="hybridMultilevel"/>
    <w:tmpl w:val="5B2E48C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E3746"/>
    <w:multiLevelType w:val="hybridMultilevel"/>
    <w:tmpl w:val="2DAC824E"/>
    <w:lvl w:ilvl="0" w:tplc="EB8E2D52">
      <w:start w:val="2"/>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32E95D04"/>
    <w:multiLevelType w:val="hybridMultilevel"/>
    <w:tmpl w:val="4ED24310"/>
    <w:lvl w:ilvl="0" w:tplc="296EB026">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84005B"/>
    <w:multiLevelType w:val="hybridMultilevel"/>
    <w:tmpl w:val="803050B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3D0643BD"/>
    <w:multiLevelType w:val="hybridMultilevel"/>
    <w:tmpl w:val="FE7C9F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754FD"/>
    <w:multiLevelType w:val="hybridMultilevel"/>
    <w:tmpl w:val="7E0CF6D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3B702C"/>
    <w:multiLevelType w:val="hybridMultilevel"/>
    <w:tmpl w:val="0A7473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3237C"/>
    <w:multiLevelType w:val="hybridMultilevel"/>
    <w:tmpl w:val="5BDA2DBA"/>
    <w:lvl w:ilvl="0" w:tplc="C34E37B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56821C7"/>
    <w:multiLevelType w:val="hybridMultilevel"/>
    <w:tmpl w:val="4EBC09CE"/>
    <w:lvl w:ilvl="0" w:tplc="1009000F">
      <w:start w:val="4"/>
      <w:numFmt w:val="decimal"/>
      <w:lvlText w:val="%1."/>
      <w:lvlJc w:val="left"/>
      <w:pPr>
        <w:tabs>
          <w:tab w:val="num" w:pos="360"/>
        </w:tabs>
        <w:ind w:left="360" w:hanging="36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657C1BB3"/>
    <w:multiLevelType w:val="hybridMultilevel"/>
    <w:tmpl w:val="F9501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53768"/>
    <w:multiLevelType w:val="hybridMultilevel"/>
    <w:tmpl w:val="61F8F98A"/>
    <w:lvl w:ilvl="0" w:tplc="DD6AED1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B30F70"/>
    <w:multiLevelType w:val="hybridMultilevel"/>
    <w:tmpl w:val="DE0044AC"/>
    <w:lvl w:ilvl="0" w:tplc="0454431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C6C7C"/>
    <w:multiLevelType w:val="hybridMultilevel"/>
    <w:tmpl w:val="4D9CE494"/>
    <w:lvl w:ilvl="0" w:tplc="A6D01B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9601A6"/>
    <w:multiLevelType w:val="hybridMultilevel"/>
    <w:tmpl w:val="20222E54"/>
    <w:lvl w:ilvl="0" w:tplc="AA68E2E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552498"/>
    <w:multiLevelType w:val="hybridMultilevel"/>
    <w:tmpl w:val="4FF6FC74"/>
    <w:lvl w:ilvl="0" w:tplc="CB3EC626">
      <w:start w:val="1"/>
      <w:numFmt w:val="decimal"/>
      <w:lvlText w:val="%1-"/>
      <w:lvlJc w:val="left"/>
      <w:pPr>
        <w:tabs>
          <w:tab w:val="num" w:pos="1980"/>
        </w:tabs>
        <w:ind w:left="1980" w:hanging="360"/>
      </w:pPr>
      <w:rPr>
        <w:rFonts w:hint="default"/>
      </w:rPr>
    </w:lvl>
    <w:lvl w:ilvl="1" w:tplc="10090019" w:tentative="1">
      <w:start w:val="1"/>
      <w:numFmt w:val="lowerLetter"/>
      <w:lvlText w:val="%2."/>
      <w:lvlJc w:val="left"/>
      <w:pPr>
        <w:tabs>
          <w:tab w:val="num" w:pos="2700"/>
        </w:tabs>
        <w:ind w:left="2700" w:hanging="360"/>
      </w:pPr>
    </w:lvl>
    <w:lvl w:ilvl="2" w:tplc="1009001B" w:tentative="1">
      <w:start w:val="1"/>
      <w:numFmt w:val="lowerRoman"/>
      <w:lvlText w:val="%3."/>
      <w:lvlJc w:val="right"/>
      <w:pPr>
        <w:tabs>
          <w:tab w:val="num" w:pos="3420"/>
        </w:tabs>
        <w:ind w:left="3420" w:hanging="180"/>
      </w:pPr>
    </w:lvl>
    <w:lvl w:ilvl="3" w:tplc="1009000F" w:tentative="1">
      <w:start w:val="1"/>
      <w:numFmt w:val="decimal"/>
      <w:lvlText w:val="%4."/>
      <w:lvlJc w:val="left"/>
      <w:pPr>
        <w:tabs>
          <w:tab w:val="num" w:pos="4140"/>
        </w:tabs>
        <w:ind w:left="4140" w:hanging="360"/>
      </w:pPr>
    </w:lvl>
    <w:lvl w:ilvl="4" w:tplc="10090019" w:tentative="1">
      <w:start w:val="1"/>
      <w:numFmt w:val="lowerLetter"/>
      <w:lvlText w:val="%5."/>
      <w:lvlJc w:val="left"/>
      <w:pPr>
        <w:tabs>
          <w:tab w:val="num" w:pos="4860"/>
        </w:tabs>
        <w:ind w:left="4860" w:hanging="360"/>
      </w:pPr>
    </w:lvl>
    <w:lvl w:ilvl="5" w:tplc="1009001B" w:tentative="1">
      <w:start w:val="1"/>
      <w:numFmt w:val="lowerRoman"/>
      <w:lvlText w:val="%6."/>
      <w:lvlJc w:val="right"/>
      <w:pPr>
        <w:tabs>
          <w:tab w:val="num" w:pos="5580"/>
        </w:tabs>
        <w:ind w:left="5580" w:hanging="180"/>
      </w:pPr>
    </w:lvl>
    <w:lvl w:ilvl="6" w:tplc="1009000F" w:tentative="1">
      <w:start w:val="1"/>
      <w:numFmt w:val="decimal"/>
      <w:lvlText w:val="%7."/>
      <w:lvlJc w:val="left"/>
      <w:pPr>
        <w:tabs>
          <w:tab w:val="num" w:pos="6300"/>
        </w:tabs>
        <w:ind w:left="6300" w:hanging="360"/>
      </w:pPr>
    </w:lvl>
    <w:lvl w:ilvl="7" w:tplc="10090019" w:tentative="1">
      <w:start w:val="1"/>
      <w:numFmt w:val="lowerLetter"/>
      <w:lvlText w:val="%8."/>
      <w:lvlJc w:val="left"/>
      <w:pPr>
        <w:tabs>
          <w:tab w:val="num" w:pos="7020"/>
        </w:tabs>
        <w:ind w:left="7020" w:hanging="360"/>
      </w:pPr>
    </w:lvl>
    <w:lvl w:ilvl="8" w:tplc="1009001B" w:tentative="1">
      <w:start w:val="1"/>
      <w:numFmt w:val="lowerRoman"/>
      <w:lvlText w:val="%9."/>
      <w:lvlJc w:val="right"/>
      <w:pPr>
        <w:tabs>
          <w:tab w:val="num" w:pos="7740"/>
        </w:tabs>
        <w:ind w:left="7740" w:hanging="180"/>
      </w:pPr>
    </w:lvl>
  </w:abstractNum>
  <w:abstractNum w:abstractNumId="19" w15:restartNumberingAfterBreak="0">
    <w:nsid w:val="7E7F1CEC"/>
    <w:multiLevelType w:val="hybridMultilevel"/>
    <w:tmpl w:val="6BF2AEF0"/>
    <w:lvl w:ilvl="0" w:tplc="82B86FD2">
      <w:start w:val="1"/>
      <w:numFmt w:val="lowerLetter"/>
      <w:lvlText w:val="%1)"/>
      <w:lvlJc w:val="left"/>
      <w:pPr>
        <w:tabs>
          <w:tab w:val="num" w:pos="735"/>
        </w:tabs>
        <w:ind w:left="735" w:hanging="375"/>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3"/>
  </w:num>
  <w:num w:numId="5">
    <w:abstractNumId w:val="12"/>
  </w:num>
  <w:num w:numId="6">
    <w:abstractNumId w:val="9"/>
  </w:num>
  <w:num w:numId="7">
    <w:abstractNumId w:val="8"/>
  </w:num>
  <w:num w:numId="8">
    <w:abstractNumId w:val="4"/>
  </w:num>
  <w:num w:numId="9">
    <w:abstractNumId w:val="10"/>
  </w:num>
  <w:num w:numId="10">
    <w:abstractNumId w:val="11"/>
  </w:num>
  <w:num w:numId="11">
    <w:abstractNumId w:val="17"/>
  </w:num>
  <w:num w:numId="12">
    <w:abstractNumId w:val="18"/>
  </w:num>
  <w:num w:numId="13">
    <w:abstractNumId w:val="19"/>
  </w:num>
  <w:num w:numId="14">
    <w:abstractNumId w:val="5"/>
  </w:num>
  <w:num w:numId="15">
    <w:abstractNumId w:val="15"/>
  </w:num>
  <w:num w:numId="16">
    <w:abstractNumId w:val="14"/>
  </w:num>
  <w:num w:numId="17">
    <w:abstractNumId w:val="16"/>
  </w:num>
  <w:num w:numId="18">
    <w:abstractNumId w:val="15"/>
  </w:num>
  <w:num w:numId="19">
    <w:abstractNumId w:val="15"/>
  </w:num>
  <w:num w:numId="20">
    <w:abstractNumId w:val="13"/>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57"/>
    <w:rsid w:val="00003109"/>
    <w:rsid w:val="000032FB"/>
    <w:rsid w:val="00005882"/>
    <w:rsid w:val="00020627"/>
    <w:rsid w:val="000257E0"/>
    <w:rsid w:val="000341F8"/>
    <w:rsid w:val="00040E46"/>
    <w:rsid w:val="00050966"/>
    <w:rsid w:val="000511BA"/>
    <w:rsid w:val="00052835"/>
    <w:rsid w:val="00057DA3"/>
    <w:rsid w:val="00061E4B"/>
    <w:rsid w:val="00063019"/>
    <w:rsid w:val="000736FF"/>
    <w:rsid w:val="00077591"/>
    <w:rsid w:val="000A17D2"/>
    <w:rsid w:val="000A2C0F"/>
    <w:rsid w:val="000A5113"/>
    <w:rsid w:val="000B02C3"/>
    <w:rsid w:val="000B274E"/>
    <w:rsid w:val="000B71EA"/>
    <w:rsid w:val="000C7356"/>
    <w:rsid w:val="000D2EDC"/>
    <w:rsid w:val="000D3818"/>
    <w:rsid w:val="000E39A9"/>
    <w:rsid w:val="000E3DB8"/>
    <w:rsid w:val="000E4E23"/>
    <w:rsid w:val="000F7F1E"/>
    <w:rsid w:val="00104780"/>
    <w:rsid w:val="0010735B"/>
    <w:rsid w:val="0011204F"/>
    <w:rsid w:val="00143ED4"/>
    <w:rsid w:val="00144828"/>
    <w:rsid w:val="0015331B"/>
    <w:rsid w:val="0015436B"/>
    <w:rsid w:val="00155AFE"/>
    <w:rsid w:val="00155F2B"/>
    <w:rsid w:val="00156818"/>
    <w:rsid w:val="0016376A"/>
    <w:rsid w:val="001658A3"/>
    <w:rsid w:val="0017040B"/>
    <w:rsid w:val="00173505"/>
    <w:rsid w:val="001743C4"/>
    <w:rsid w:val="00181F5D"/>
    <w:rsid w:val="001841A1"/>
    <w:rsid w:val="00190528"/>
    <w:rsid w:val="00191F2C"/>
    <w:rsid w:val="00197953"/>
    <w:rsid w:val="001A165C"/>
    <w:rsid w:val="001B05EB"/>
    <w:rsid w:val="001B3D29"/>
    <w:rsid w:val="001B51E3"/>
    <w:rsid w:val="001B57C2"/>
    <w:rsid w:val="001C29BA"/>
    <w:rsid w:val="001C2CC1"/>
    <w:rsid w:val="001C583A"/>
    <w:rsid w:val="001E7FB4"/>
    <w:rsid w:val="001F1648"/>
    <w:rsid w:val="001F387F"/>
    <w:rsid w:val="001F418C"/>
    <w:rsid w:val="001F601C"/>
    <w:rsid w:val="001F706A"/>
    <w:rsid w:val="001F7710"/>
    <w:rsid w:val="002039A9"/>
    <w:rsid w:val="002127D7"/>
    <w:rsid w:val="00213BAB"/>
    <w:rsid w:val="00216C30"/>
    <w:rsid w:val="00224F94"/>
    <w:rsid w:val="00225A6A"/>
    <w:rsid w:val="00247BDD"/>
    <w:rsid w:val="002540B7"/>
    <w:rsid w:val="00257D57"/>
    <w:rsid w:val="00262665"/>
    <w:rsid w:val="002673DC"/>
    <w:rsid w:val="00274A64"/>
    <w:rsid w:val="00282210"/>
    <w:rsid w:val="002927E2"/>
    <w:rsid w:val="002A1B8F"/>
    <w:rsid w:val="002A4ACE"/>
    <w:rsid w:val="002B159B"/>
    <w:rsid w:val="002B1DF3"/>
    <w:rsid w:val="002B2BB9"/>
    <w:rsid w:val="002C11EF"/>
    <w:rsid w:val="002C7B80"/>
    <w:rsid w:val="002E2717"/>
    <w:rsid w:val="002E4FF9"/>
    <w:rsid w:val="002E55F4"/>
    <w:rsid w:val="002F3395"/>
    <w:rsid w:val="002F501B"/>
    <w:rsid w:val="002F654C"/>
    <w:rsid w:val="002F67DB"/>
    <w:rsid w:val="003031D4"/>
    <w:rsid w:val="00310165"/>
    <w:rsid w:val="0031115D"/>
    <w:rsid w:val="00316BDE"/>
    <w:rsid w:val="0032123B"/>
    <w:rsid w:val="0032369F"/>
    <w:rsid w:val="003251A2"/>
    <w:rsid w:val="0032546F"/>
    <w:rsid w:val="00333E1C"/>
    <w:rsid w:val="00337B06"/>
    <w:rsid w:val="00344FB6"/>
    <w:rsid w:val="0034580F"/>
    <w:rsid w:val="00345E85"/>
    <w:rsid w:val="00347DE3"/>
    <w:rsid w:val="00366C75"/>
    <w:rsid w:val="0037106D"/>
    <w:rsid w:val="0037781A"/>
    <w:rsid w:val="003839EF"/>
    <w:rsid w:val="00393EB2"/>
    <w:rsid w:val="00394707"/>
    <w:rsid w:val="003A698E"/>
    <w:rsid w:val="003B118F"/>
    <w:rsid w:val="003B2025"/>
    <w:rsid w:val="003B236E"/>
    <w:rsid w:val="003B33A2"/>
    <w:rsid w:val="003D0460"/>
    <w:rsid w:val="003D169D"/>
    <w:rsid w:val="003E0C7F"/>
    <w:rsid w:val="003F02C8"/>
    <w:rsid w:val="003F3C74"/>
    <w:rsid w:val="003F5F6B"/>
    <w:rsid w:val="00400B6A"/>
    <w:rsid w:val="00404680"/>
    <w:rsid w:val="00407BD9"/>
    <w:rsid w:val="00407FB6"/>
    <w:rsid w:val="00411D5B"/>
    <w:rsid w:val="00412D21"/>
    <w:rsid w:val="0042464F"/>
    <w:rsid w:val="00424CC3"/>
    <w:rsid w:val="0042586E"/>
    <w:rsid w:val="0042591B"/>
    <w:rsid w:val="004413B6"/>
    <w:rsid w:val="00455BD2"/>
    <w:rsid w:val="00456F48"/>
    <w:rsid w:val="004716ED"/>
    <w:rsid w:val="00475163"/>
    <w:rsid w:val="00487E8F"/>
    <w:rsid w:val="0049467B"/>
    <w:rsid w:val="004957CC"/>
    <w:rsid w:val="004A3ED3"/>
    <w:rsid w:val="004B2A56"/>
    <w:rsid w:val="004B2FC1"/>
    <w:rsid w:val="004B3EBF"/>
    <w:rsid w:val="004B3EE4"/>
    <w:rsid w:val="004D7D3A"/>
    <w:rsid w:val="004F26E6"/>
    <w:rsid w:val="00500094"/>
    <w:rsid w:val="005139D6"/>
    <w:rsid w:val="00520EC8"/>
    <w:rsid w:val="00523D3F"/>
    <w:rsid w:val="00527ABF"/>
    <w:rsid w:val="005312D3"/>
    <w:rsid w:val="00531CBF"/>
    <w:rsid w:val="00533D73"/>
    <w:rsid w:val="00540A71"/>
    <w:rsid w:val="00544291"/>
    <w:rsid w:val="00546B68"/>
    <w:rsid w:val="005552DC"/>
    <w:rsid w:val="00560706"/>
    <w:rsid w:val="0056099B"/>
    <w:rsid w:val="005636A4"/>
    <w:rsid w:val="005644B1"/>
    <w:rsid w:val="00571888"/>
    <w:rsid w:val="0057189E"/>
    <w:rsid w:val="00574453"/>
    <w:rsid w:val="005842A0"/>
    <w:rsid w:val="00584884"/>
    <w:rsid w:val="00591ECF"/>
    <w:rsid w:val="005A134C"/>
    <w:rsid w:val="005B408B"/>
    <w:rsid w:val="005C0068"/>
    <w:rsid w:val="005C102D"/>
    <w:rsid w:val="005E136F"/>
    <w:rsid w:val="005E1467"/>
    <w:rsid w:val="006039D7"/>
    <w:rsid w:val="00620D22"/>
    <w:rsid w:val="00622367"/>
    <w:rsid w:val="00622757"/>
    <w:rsid w:val="00631FE2"/>
    <w:rsid w:val="00632495"/>
    <w:rsid w:val="00633BCE"/>
    <w:rsid w:val="0063654E"/>
    <w:rsid w:val="00643AE5"/>
    <w:rsid w:val="0065265B"/>
    <w:rsid w:val="006558ED"/>
    <w:rsid w:val="0065607B"/>
    <w:rsid w:val="00656A70"/>
    <w:rsid w:val="00657533"/>
    <w:rsid w:val="00661BFE"/>
    <w:rsid w:val="00663568"/>
    <w:rsid w:val="0066515E"/>
    <w:rsid w:val="00673B15"/>
    <w:rsid w:val="006740EE"/>
    <w:rsid w:val="00674906"/>
    <w:rsid w:val="00692CA6"/>
    <w:rsid w:val="00697BEC"/>
    <w:rsid w:val="006A1641"/>
    <w:rsid w:val="006B00F9"/>
    <w:rsid w:val="006B1AD5"/>
    <w:rsid w:val="006B5E66"/>
    <w:rsid w:val="006B6F88"/>
    <w:rsid w:val="006C0832"/>
    <w:rsid w:val="006C5F80"/>
    <w:rsid w:val="006E5F75"/>
    <w:rsid w:val="006F1630"/>
    <w:rsid w:val="006F3C57"/>
    <w:rsid w:val="006F4CE5"/>
    <w:rsid w:val="00704EEE"/>
    <w:rsid w:val="00712B44"/>
    <w:rsid w:val="00727F65"/>
    <w:rsid w:val="00734917"/>
    <w:rsid w:val="00735AD2"/>
    <w:rsid w:val="00737666"/>
    <w:rsid w:val="00737C12"/>
    <w:rsid w:val="00744CC8"/>
    <w:rsid w:val="0075328A"/>
    <w:rsid w:val="0076340F"/>
    <w:rsid w:val="007754CF"/>
    <w:rsid w:val="00790FB6"/>
    <w:rsid w:val="007A6901"/>
    <w:rsid w:val="007B19CC"/>
    <w:rsid w:val="007B3D2D"/>
    <w:rsid w:val="007C19B8"/>
    <w:rsid w:val="007D0D03"/>
    <w:rsid w:val="007D13B2"/>
    <w:rsid w:val="007D75EB"/>
    <w:rsid w:val="007E0C66"/>
    <w:rsid w:val="007E1AB7"/>
    <w:rsid w:val="007E7069"/>
    <w:rsid w:val="007F2BCA"/>
    <w:rsid w:val="007F4B2D"/>
    <w:rsid w:val="008060D6"/>
    <w:rsid w:val="00813F71"/>
    <w:rsid w:val="00822777"/>
    <w:rsid w:val="00822E7E"/>
    <w:rsid w:val="008236C5"/>
    <w:rsid w:val="00825D01"/>
    <w:rsid w:val="00835E67"/>
    <w:rsid w:val="00843A9C"/>
    <w:rsid w:val="00855C10"/>
    <w:rsid w:val="008600FE"/>
    <w:rsid w:val="008608BA"/>
    <w:rsid w:val="00860E25"/>
    <w:rsid w:val="00860FCB"/>
    <w:rsid w:val="00863E4A"/>
    <w:rsid w:val="00864AD4"/>
    <w:rsid w:val="008673F2"/>
    <w:rsid w:val="008706C0"/>
    <w:rsid w:val="008765E4"/>
    <w:rsid w:val="0088253B"/>
    <w:rsid w:val="00883EB2"/>
    <w:rsid w:val="00891B69"/>
    <w:rsid w:val="00892022"/>
    <w:rsid w:val="008A604C"/>
    <w:rsid w:val="008B60D8"/>
    <w:rsid w:val="008B711F"/>
    <w:rsid w:val="008C6E98"/>
    <w:rsid w:val="008D02DC"/>
    <w:rsid w:val="008E1A19"/>
    <w:rsid w:val="008F1994"/>
    <w:rsid w:val="008F2555"/>
    <w:rsid w:val="008F75A1"/>
    <w:rsid w:val="00900B81"/>
    <w:rsid w:val="009052D7"/>
    <w:rsid w:val="009070B6"/>
    <w:rsid w:val="00915BF6"/>
    <w:rsid w:val="00915FBD"/>
    <w:rsid w:val="0092040D"/>
    <w:rsid w:val="00926A5E"/>
    <w:rsid w:val="00927FF7"/>
    <w:rsid w:val="009323ED"/>
    <w:rsid w:val="00932DF7"/>
    <w:rsid w:val="0093461E"/>
    <w:rsid w:val="00942AD1"/>
    <w:rsid w:val="00945553"/>
    <w:rsid w:val="009469ED"/>
    <w:rsid w:val="009716DA"/>
    <w:rsid w:val="0097707C"/>
    <w:rsid w:val="009915ED"/>
    <w:rsid w:val="00995C49"/>
    <w:rsid w:val="009A1845"/>
    <w:rsid w:val="009A1E96"/>
    <w:rsid w:val="009A4816"/>
    <w:rsid w:val="009B06B3"/>
    <w:rsid w:val="009B46E4"/>
    <w:rsid w:val="009C3D80"/>
    <w:rsid w:val="009C45F5"/>
    <w:rsid w:val="009C69AA"/>
    <w:rsid w:val="009D46C5"/>
    <w:rsid w:val="009E0D33"/>
    <w:rsid w:val="009E309B"/>
    <w:rsid w:val="009F0468"/>
    <w:rsid w:val="009F46AC"/>
    <w:rsid w:val="009F5117"/>
    <w:rsid w:val="009F6362"/>
    <w:rsid w:val="00A06FCA"/>
    <w:rsid w:val="00A15C39"/>
    <w:rsid w:val="00A20D8E"/>
    <w:rsid w:val="00A2624B"/>
    <w:rsid w:val="00A27974"/>
    <w:rsid w:val="00A33441"/>
    <w:rsid w:val="00A44EF0"/>
    <w:rsid w:val="00A46FB5"/>
    <w:rsid w:val="00A53E9F"/>
    <w:rsid w:val="00A64028"/>
    <w:rsid w:val="00A64F11"/>
    <w:rsid w:val="00A66630"/>
    <w:rsid w:val="00A74AF1"/>
    <w:rsid w:val="00A839A0"/>
    <w:rsid w:val="00A87CF3"/>
    <w:rsid w:val="00AB2206"/>
    <w:rsid w:val="00AB39E1"/>
    <w:rsid w:val="00AB4183"/>
    <w:rsid w:val="00AB4F67"/>
    <w:rsid w:val="00AC0D22"/>
    <w:rsid w:val="00AC5F90"/>
    <w:rsid w:val="00AC603C"/>
    <w:rsid w:val="00AC71D1"/>
    <w:rsid w:val="00AD402C"/>
    <w:rsid w:val="00AD6B25"/>
    <w:rsid w:val="00AE66C5"/>
    <w:rsid w:val="00AE7229"/>
    <w:rsid w:val="00AF2587"/>
    <w:rsid w:val="00B00F9B"/>
    <w:rsid w:val="00B0230E"/>
    <w:rsid w:val="00B02358"/>
    <w:rsid w:val="00B15F0F"/>
    <w:rsid w:val="00B20358"/>
    <w:rsid w:val="00B24279"/>
    <w:rsid w:val="00B25ABB"/>
    <w:rsid w:val="00B26F10"/>
    <w:rsid w:val="00B344EA"/>
    <w:rsid w:val="00B42043"/>
    <w:rsid w:val="00B54671"/>
    <w:rsid w:val="00B62E1D"/>
    <w:rsid w:val="00B64160"/>
    <w:rsid w:val="00B646B0"/>
    <w:rsid w:val="00B649A8"/>
    <w:rsid w:val="00B7048A"/>
    <w:rsid w:val="00B7293E"/>
    <w:rsid w:val="00B7655B"/>
    <w:rsid w:val="00B81E26"/>
    <w:rsid w:val="00B83078"/>
    <w:rsid w:val="00B914F8"/>
    <w:rsid w:val="00B91B24"/>
    <w:rsid w:val="00B956E0"/>
    <w:rsid w:val="00BB26C1"/>
    <w:rsid w:val="00BB2769"/>
    <w:rsid w:val="00BB7215"/>
    <w:rsid w:val="00BE2D21"/>
    <w:rsid w:val="00BE4B96"/>
    <w:rsid w:val="00BF06CD"/>
    <w:rsid w:val="00BF0B4E"/>
    <w:rsid w:val="00BF1D26"/>
    <w:rsid w:val="00BF65B5"/>
    <w:rsid w:val="00BF69A2"/>
    <w:rsid w:val="00BF7BED"/>
    <w:rsid w:val="00C007DE"/>
    <w:rsid w:val="00C05D28"/>
    <w:rsid w:val="00C06B65"/>
    <w:rsid w:val="00C15C66"/>
    <w:rsid w:val="00C17351"/>
    <w:rsid w:val="00C235D5"/>
    <w:rsid w:val="00C23A2C"/>
    <w:rsid w:val="00C34B2B"/>
    <w:rsid w:val="00C43894"/>
    <w:rsid w:val="00C50ED8"/>
    <w:rsid w:val="00C64DF9"/>
    <w:rsid w:val="00C71A47"/>
    <w:rsid w:val="00C72D56"/>
    <w:rsid w:val="00C75DC9"/>
    <w:rsid w:val="00C835D1"/>
    <w:rsid w:val="00C94DB3"/>
    <w:rsid w:val="00C96CE3"/>
    <w:rsid w:val="00CA07F3"/>
    <w:rsid w:val="00CA5E96"/>
    <w:rsid w:val="00CA7615"/>
    <w:rsid w:val="00CC36A6"/>
    <w:rsid w:val="00CD0902"/>
    <w:rsid w:val="00CD0D8B"/>
    <w:rsid w:val="00CD5090"/>
    <w:rsid w:val="00CD5307"/>
    <w:rsid w:val="00CE2096"/>
    <w:rsid w:val="00CF070A"/>
    <w:rsid w:val="00CF08D7"/>
    <w:rsid w:val="00CF7230"/>
    <w:rsid w:val="00D07F44"/>
    <w:rsid w:val="00D10C40"/>
    <w:rsid w:val="00D127B3"/>
    <w:rsid w:val="00D17164"/>
    <w:rsid w:val="00D22C6D"/>
    <w:rsid w:val="00D256CD"/>
    <w:rsid w:val="00D2610A"/>
    <w:rsid w:val="00D27CCC"/>
    <w:rsid w:val="00D31298"/>
    <w:rsid w:val="00D37314"/>
    <w:rsid w:val="00D42D73"/>
    <w:rsid w:val="00D47787"/>
    <w:rsid w:val="00D71335"/>
    <w:rsid w:val="00D71B69"/>
    <w:rsid w:val="00D7286E"/>
    <w:rsid w:val="00D736B6"/>
    <w:rsid w:val="00D73BE1"/>
    <w:rsid w:val="00D76207"/>
    <w:rsid w:val="00D8366D"/>
    <w:rsid w:val="00D854A0"/>
    <w:rsid w:val="00D8717C"/>
    <w:rsid w:val="00D95F06"/>
    <w:rsid w:val="00DA0235"/>
    <w:rsid w:val="00DA02FD"/>
    <w:rsid w:val="00DA0C22"/>
    <w:rsid w:val="00DA343E"/>
    <w:rsid w:val="00DB7F19"/>
    <w:rsid w:val="00DC2083"/>
    <w:rsid w:val="00DC43D4"/>
    <w:rsid w:val="00DC5B8E"/>
    <w:rsid w:val="00DC6E46"/>
    <w:rsid w:val="00DD1E77"/>
    <w:rsid w:val="00DD7B40"/>
    <w:rsid w:val="00DF14CD"/>
    <w:rsid w:val="00DF1A98"/>
    <w:rsid w:val="00DF1FCD"/>
    <w:rsid w:val="00DF6421"/>
    <w:rsid w:val="00E1660A"/>
    <w:rsid w:val="00E2263C"/>
    <w:rsid w:val="00E26074"/>
    <w:rsid w:val="00E34CEE"/>
    <w:rsid w:val="00E35A07"/>
    <w:rsid w:val="00E368BE"/>
    <w:rsid w:val="00E46852"/>
    <w:rsid w:val="00E5031E"/>
    <w:rsid w:val="00E51A89"/>
    <w:rsid w:val="00E53226"/>
    <w:rsid w:val="00E532E2"/>
    <w:rsid w:val="00E56749"/>
    <w:rsid w:val="00E62380"/>
    <w:rsid w:val="00E70FDA"/>
    <w:rsid w:val="00E95C44"/>
    <w:rsid w:val="00EB0E65"/>
    <w:rsid w:val="00EB19F6"/>
    <w:rsid w:val="00EB26D6"/>
    <w:rsid w:val="00EC2CEA"/>
    <w:rsid w:val="00EC3D4C"/>
    <w:rsid w:val="00EC4596"/>
    <w:rsid w:val="00EC5139"/>
    <w:rsid w:val="00ED11DF"/>
    <w:rsid w:val="00ED19EC"/>
    <w:rsid w:val="00ED43AA"/>
    <w:rsid w:val="00ED7197"/>
    <w:rsid w:val="00F00334"/>
    <w:rsid w:val="00F01E7A"/>
    <w:rsid w:val="00F0411C"/>
    <w:rsid w:val="00F05F4C"/>
    <w:rsid w:val="00F06408"/>
    <w:rsid w:val="00F1098C"/>
    <w:rsid w:val="00F123CA"/>
    <w:rsid w:val="00F148D8"/>
    <w:rsid w:val="00F177BF"/>
    <w:rsid w:val="00F231A4"/>
    <w:rsid w:val="00F40953"/>
    <w:rsid w:val="00F4390A"/>
    <w:rsid w:val="00F43CC5"/>
    <w:rsid w:val="00F52C54"/>
    <w:rsid w:val="00F531F7"/>
    <w:rsid w:val="00F62E87"/>
    <w:rsid w:val="00F67855"/>
    <w:rsid w:val="00F762BF"/>
    <w:rsid w:val="00F770CF"/>
    <w:rsid w:val="00F77C6F"/>
    <w:rsid w:val="00F8126E"/>
    <w:rsid w:val="00F91D14"/>
    <w:rsid w:val="00FC6B6E"/>
    <w:rsid w:val="00FD226D"/>
    <w:rsid w:val="00FE376A"/>
    <w:rsid w:val="00FE495A"/>
    <w:rsid w:val="00FF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E37C6"/>
  <w15:docId w15:val="{7E090542-6010-4C56-9C80-9446A252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C7F"/>
    <w:pPr>
      <w:jc w:val="both"/>
    </w:pPr>
    <w:rPr>
      <w:sz w:val="24"/>
      <w:szCs w:val="24"/>
      <w:lang w:val="en-CA" w:eastAsia="en-CA"/>
    </w:rPr>
  </w:style>
  <w:style w:type="paragraph" w:styleId="Heading1">
    <w:name w:val="heading 1"/>
    <w:basedOn w:val="Normal"/>
    <w:next w:val="Normal"/>
    <w:link w:val="Heading1Char"/>
    <w:qFormat/>
    <w:rsid w:val="003E0C7F"/>
    <w:pPr>
      <w:keepNext/>
      <w:tabs>
        <w:tab w:val="center" w:pos="3240"/>
        <w:tab w:val="center" w:pos="4500"/>
        <w:tab w:val="center" w:pos="6030"/>
        <w:tab w:val="right" w:pos="7920"/>
      </w:tabs>
      <w:overflowPunct w:val="0"/>
      <w:autoSpaceDE w:val="0"/>
      <w:autoSpaceDN w:val="0"/>
      <w:adjustRightInd w:val="0"/>
      <w:spacing w:before="360" w:after="240"/>
      <w:ind w:left="720" w:hanging="360"/>
      <w:textAlignment w:val="baseline"/>
      <w:outlineLvl w:val="0"/>
    </w:pPr>
    <w:rPr>
      <w:b/>
      <w:lang w:val="en-US" w:eastAsia="en-US"/>
    </w:rPr>
  </w:style>
  <w:style w:type="paragraph" w:styleId="Heading2">
    <w:name w:val="heading 2"/>
    <w:basedOn w:val="Normal"/>
    <w:next w:val="Normal"/>
    <w:link w:val="Heading2Char"/>
    <w:unhideWhenUsed/>
    <w:qFormat/>
    <w:rsid w:val="003E0C7F"/>
    <w:pPr>
      <w:keepNext/>
      <w:spacing w:before="240" w:after="240"/>
      <w:ind w:left="72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4906"/>
    <w:pPr>
      <w:spacing w:after="240"/>
    </w:pPr>
    <w:rPr>
      <w:lang w:eastAsia="en-US"/>
    </w:rPr>
  </w:style>
  <w:style w:type="character" w:customStyle="1" w:styleId="BodyTextChar">
    <w:name w:val="Body Text Char"/>
    <w:link w:val="BodyText"/>
    <w:semiHidden/>
    <w:locked/>
    <w:rsid w:val="00674906"/>
    <w:rPr>
      <w:sz w:val="24"/>
      <w:szCs w:val="24"/>
      <w:lang w:val="en-CA" w:eastAsia="en-US" w:bidi="ar-SA"/>
    </w:rPr>
  </w:style>
  <w:style w:type="paragraph" w:styleId="BalloonText">
    <w:name w:val="Balloon Text"/>
    <w:basedOn w:val="Normal"/>
    <w:semiHidden/>
    <w:rsid w:val="00345E85"/>
    <w:rPr>
      <w:rFonts w:ascii="Tahoma" w:hAnsi="Tahoma" w:cs="Tahoma"/>
      <w:sz w:val="16"/>
      <w:szCs w:val="16"/>
    </w:rPr>
  </w:style>
  <w:style w:type="character" w:styleId="Hyperlink">
    <w:name w:val="Hyperlink"/>
    <w:uiPriority w:val="99"/>
    <w:rsid w:val="00656A70"/>
    <w:rPr>
      <w:color w:val="0000FF"/>
      <w:u w:val="single"/>
    </w:rPr>
  </w:style>
  <w:style w:type="character" w:customStyle="1" w:styleId="Heading1Char">
    <w:name w:val="Heading 1 Char"/>
    <w:link w:val="Heading1"/>
    <w:rsid w:val="003E0C7F"/>
    <w:rPr>
      <w:b/>
      <w:sz w:val="24"/>
      <w:szCs w:val="24"/>
    </w:rPr>
  </w:style>
  <w:style w:type="paragraph" w:customStyle="1" w:styleId="textnotes">
    <w:name w:val="text notes"/>
    <w:aliases w:val="TN,tn,textnotes,tn Char Char Char"/>
    <w:basedOn w:val="Normal"/>
    <w:link w:val="textnotesChar"/>
    <w:rsid w:val="001F418C"/>
    <w:pPr>
      <w:tabs>
        <w:tab w:val="decimal" w:pos="6380"/>
        <w:tab w:val="decimal" w:pos="7920"/>
      </w:tabs>
      <w:overflowPunct w:val="0"/>
      <w:autoSpaceDE w:val="0"/>
      <w:autoSpaceDN w:val="0"/>
      <w:adjustRightInd w:val="0"/>
      <w:textAlignment w:val="baseline"/>
    </w:pPr>
    <w:rPr>
      <w:sz w:val="20"/>
      <w:szCs w:val="20"/>
      <w:lang w:val="en-US" w:eastAsia="en-US"/>
    </w:rPr>
  </w:style>
  <w:style w:type="character" w:customStyle="1" w:styleId="textnotesChar">
    <w:name w:val="text notes Char"/>
    <w:aliases w:val="TN Char,tn Char"/>
    <w:basedOn w:val="DefaultParagraphFont"/>
    <w:link w:val="textnotes"/>
    <w:rsid w:val="001F418C"/>
  </w:style>
  <w:style w:type="paragraph" w:styleId="ListParagraph">
    <w:name w:val="List Paragraph"/>
    <w:basedOn w:val="Normal"/>
    <w:uiPriority w:val="34"/>
    <w:qFormat/>
    <w:rsid w:val="001F418C"/>
    <w:pPr>
      <w:overflowPunct w:val="0"/>
      <w:autoSpaceDE w:val="0"/>
      <w:autoSpaceDN w:val="0"/>
      <w:adjustRightInd w:val="0"/>
      <w:ind w:left="720"/>
      <w:contextualSpacing/>
      <w:textAlignment w:val="baseline"/>
    </w:pPr>
    <w:rPr>
      <w:szCs w:val="20"/>
      <w:lang w:val="en-US" w:eastAsia="en-US"/>
    </w:rPr>
  </w:style>
  <w:style w:type="character" w:styleId="FootnoteReference">
    <w:name w:val="footnote reference"/>
    <w:rsid w:val="001F418C"/>
    <w:rPr>
      <w:vertAlign w:val="superscript"/>
    </w:rPr>
  </w:style>
  <w:style w:type="paragraph" w:customStyle="1" w:styleId="statement">
    <w:name w:val="statement"/>
    <w:aliases w:val="S,s,S+"/>
    <w:basedOn w:val="Normal"/>
    <w:link w:val="statementChar"/>
    <w:rsid w:val="001F418C"/>
    <w:pPr>
      <w:tabs>
        <w:tab w:val="decimal" w:pos="6380"/>
        <w:tab w:val="decimal" w:pos="7920"/>
      </w:tabs>
      <w:overflowPunct w:val="0"/>
      <w:autoSpaceDE w:val="0"/>
      <w:autoSpaceDN w:val="0"/>
      <w:adjustRightInd w:val="0"/>
      <w:textAlignment w:val="baseline"/>
    </w:pPr>
    <w:rPr>
      <w:sz w:val="20"/>
      <w:szCs w:val="20"/>
      <w:lang w:val="en-US" w:eastAsia="en-US"/>
    </w:rPr>
  </w:style>
  <w:style w:type="paragraph" w:customStyle="1" w:styleId="years">
    <w:name w:val="years"/>
    <w:aliases w:val="Y,y"/>
    <w:basedOn w:val="Normal"/>
    <w:rsid w:val="001F418C"/>
    <w:pPr>
      <w:tabs>
        <w:tab w:val="right" w:pos="6380"/>
        <w:tab w:val="right" w:pos="7920"/>
      </w:tabs>
      <w:overflowPunct w:val="0"/>
      <w:autoSpaceDE w:val="0"/>
      <w:autoSpaceDN w:val="0"/>
      <w:adjustRightInd w:val="0"/>
      <w:ind w:right="6"/>
      <w:textAlignment w:val="baseline"/>
    </w:pPr>
    <w:rPr>
      <w:b/>
      <w:sz w:val="20"/>
      <w:szCs w:val="20"/>
      <w:lang w:val="en-US" w:eastAsia="en-US"/>
    </w:rPr>
  </w:style>
  <w:style w:type="character" w:customStyle="1" w:styleId="statementChar">
    <w:name w:val="statement Char"/>
    <w:aliases w:val="S Char,s Char"/>
    <w:basedOn w:val="DefaultParagraphFont"/>
    <w:link w:val="statement"/>
    <w:rsid w:val="001F418C"/>
  </w:style>
  <w:style w:type="paragraph" w:styleId="TOCHeading">
    <w:name w:val="TOC Heading"/>
    <w:basedOn w:val="Normal"/>
    <w:next w:val="Normal"/>
    <w:uiPriority w:val="39"/>
    <w:unhideWhenUsed/>
    <w:qFormat/>
    <w:rsid w:val="007A6901"/>
    <w:rPr>
      <w:rFonts w:ascii="Arial" w:hAnsi="Arial" w:cs="Arial"/>
      <w:b/>
      <w:bCs/>
      <w:color w:val="007DC3"/>
      <w:sz w:val="36"/>
      <w:szCs w:val="46"/>
    </w:rPr>
  </w:style>
  <w:style w:type="paragraph" w:styleId="TOC1">
    <w:name w:val="toc 1"/>
    <w:basedOn w:val="Normal"/>
    <w:next w:val="Normal"/>
    <w:autoRedefine/>
    <w:uiPriority w:val="39"/>
    <w:qFormat/>
    <w:rsid w:val="006B6F88"/>
    <w:pPr>
      <w:tabs>
        <w:tab w:val="right" w:leader="dot" w:pos="8630"/>
      </w:tabs>
      <w:spacing w:after="120"/>
    </w:pPr>
  </w:style>
  <w:style w:type="paragraph" w:customStyle="1" w:styleId="Default">
    <w:name w:val="Default"/>
    <w:rsid w:val="002F3395"/>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qFormat/>
    <w:rsid w:val="00F67855"/>
    <w:pPr>
      <w:spacing w:after="60"/>
      <w:outlineLvl w:val="1"/>
    </w:pPr>
    <w:rPr>
      <w:rFonts w:ascii="Cambria" w:hAnsi="Cambria"/>
    </w:rPr>
  </w:style>
  <w:style w:type="character" w:customStyle="1" w:styleId="SubtitleChar">
    <w:name w:val="Subtitle Char"/>
    <w:link w:val="Subtitle"/>
    <w:rsid w:val="00F67855"/>
    <w:rPr>
      <w:rFonts w:ascii="Cambria" w:eastAsia="Times New Roman" w:hAnsi="Cambria" w:cs="Times New Roman"/>
      <w:sz w:val="24"/>
      <w:szCs w:val="24"/>
      <w:lang w:val="en-CA" w:eastAsia="en-CA"/>
    </w:rPr>
  </w:style>
  <w:style w:type="paragraph" w:styleId="TOC2">
    <w:name w:val="toc 2"/>
    <w:basedOn w:val="Normal"/>
    <w:next w:val="Normal"/>
    <w:autoRedefine/>
    <w:uiPriority w:val="39"/>
    <w:qFormat/>
    <w:rsid w:val="006B6F88"/>
    <w:pPr>
      <w:tabs>
        <w:tab w:val="right" w:leader="dot" w:pos="8630"/>
      </w:tabs>
      <w:spacing w:after="120"/>
      <w:ind w:left="245"/>
    </w:pPr>
  </w:style>
  <w:style w:type="character" w:customStyle="1" w:styleId="Heading2Char">
    <w:name w:val="Heading 2 Char"/>
    <w:link w:val="Heading2"/>
    <w:rsid w:val="003E0C7F"/>
    <w:rPr>
      <w:rFonts w:ascii="Cambria" w:eastAsia="Times New Roman" w:hAnsi="Cambria" w:cs="Times New Roman"/>
      <w:b/>
      <w:bCs/>
      <w:i/>
      <w:iCs/>
      <w:sz w:val="24"/>
      <w:szCs w:val="28"/>
      <w:lang w:val="en-CA" w:eastAsia="en-CA"/>
    </w:rPr>
  </w:style>
  <w:style w:type="character" w:styleId="CommentReference">
    <w:name w:val="annotation reference"/>
    <w:rsid w:val="00C17351"/>
    <w:rPr>
      <w:sz w:val="16"/>
      <w:szCs w:val="16"/>
    </w:rPr>
  </w:style>
  <w:style w:type="paragraph" w:styleId="CommentText">
    <w:name w:val="annotation text"/>
    <w:basedOn w:val="Normal"/>
    <w:link w:val="CommentTextChar"/>
    <w:rsid w:val="00C17351"/>
    <w:rPr>
      <w:sz w:val="20"/>
      <w:szCs w:val="20"/>
    </w:rPr>
  </w:style>
  <w:style w:type="character" w:customStyle="1" w:styleId="CommentTextChar">
    <w:name w:val="Comment Text Char"/>
    <w:link w:val="CommentText"/>
    <w:rsid w:val="00C17351"/>
    <w:rPr>
      <w:lang w:val="en-CA" w:eastAsia="en-CA"/>
    </w:rPr>
  </w:style>
  <w:style w:type="paragraph" w:styleId="CommentSubject">
    <w:name w:val="annotation subject"/>
    <w:basedOn w:val="CommentText"/>
    <w:next w:val="CommentText"/>
    <w:link w:val="CommentSubjectChar"/>
    <w:rsid w:val="00C17351"/>
    <w:rPr>
      <w:b/>
      <w:bCs/>
    </w:rPr>
  </w:style>
  <w:style w:type="character" w:customStyle="1" w:styleId="CommentSubjectChar">
    <w:name w:val="Comment Subject Char"/>
    <w:link w:val="CommentSubject"/>
    <w:rsid w:val="00C17351"/>
    <w:rPr>
      <w:b/>
      <w:bCs/>
      <w:lang w:val="en-CA" w:eastAsia="en-CA"/>
    </w:rPr>
  </w:style>
  <w:style w:type="paragraph" w:styleId="Header">
    <w:name w:val="header"/>
    <w:basedOn w:val="Normal"/>
    <w:link w:val="HeaderChar"/>
    <w:rsid w:val="00574453"/>
    <w:pPr>
      <w:tabs>
        <w:tab w:val="center" w:pos="4680"/>
        <w:tab w:val="right" w:pos="9360"/>
      </w:tabs>
    </w:pPr>
  </w:style>
  <w:style w:type="character" w:customStyle="1" w:styleId="HeaderChar">
    <w:name w:val="Header Char"/>
    <w:link w:val="Header"/>
    <w:rsid w:val="00574453"/>
    <w:rPr>
      <w:sz w:val="24"/>
      <w:szCs w:val="24"/>
      <w:lang w:val="en-CA" w:eastAsia="en-CA"/>
    </w:rPr>
  </w:style>
  <w:style w:type="paragraph" w:styleId="Footer">
    <w:name w:val="footer"/>
    <w:basedOn w:val="Normal"/>
    <w:link w:val="FooterChar"/>
    <w:uiPriority w:val="99"/>
    <w:rsid w:val="00574453"/>
    <w:pPr>
      <w:tabs>
        <w:tab w:val="center" w:pos="4680"/>
        <w:tab w:val="right" w:pos="9360"/>
      </w:tabs>
    </w:pPr>
  </w:style>
  <w:style w:type="character" w:customStyle="1" w:styleId="FooterChar">
    <w:name w:val="Footer Char"/>
    <w:link w:val="Footer"/>
    <w:uiPriority w:val="99"/>
    <w:rsid w:val="00574453"/>
    <w:rPr>
      <w:sz w:val="24"/>
      <w:szCs w:val="24"/>
      <w:lang w:val="en-CA" w:eastAsia="en-CA"/>
    </w:rPr>
  </w:style>
  <w:style w:type="paragraph" w:styleId="TOC3">
    <w:name w:val="toc 3"/>
    <w:basedOn w:val="Normal"/>
    <w:next w:val="Normal"/>
    <w:autoRedefine/>
    <w:uiPriority w:val="39"/>
    <w:unhideWhenUsed/>
    <w:qFormat/>
    <w:rsid w:val="00B26F10"/>
    <w:pPr>
      <w:spacing w:after="100" w:line="276" w:lineRule="auto"/>
      <w:ind w:left="440"/>
      <w:jc w:val="left"/>
    </w:pPr>
    <w:rPr>
      <w:rFonts w:ascii="Calibri" w:hAnsi="Calibri"/>
      <w:sz w:val="22"/>
      <w:szCs w:val="22"/>
      <w:lang w:val="en-US" w:eastAsia="en-US"/>
    </w:rPr>
  </w:style>
  <w:style w:type="character" w:styleId="LineNumber">
    <w:name w:val="line number"/>
    <w:basedOn w:val="DefaultParagraphFont"/>
    <w:rsid w:val="00BF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3926">
      <w:bodyDiv w:val="1"/>
      <w:marLeft w:val="0"/>
      <w:marRight w:val="0"/>
      <w:marTop w:val="0"/>
      <w:marBottom w:val="0"/>
      <w:divBdr>
        <w:top w:val="none" w:sz="0" w:space="0" w:color="auto"/>
        <w:left w:val="none" w:sz="0" w:space="0" w:color="auto"/>
        <w:bottom w:val="none" w:sz="0" w:space="0" w:color="auto"/>
        <w:right w:val="none" w:sz="0" w:space="0" w:color="auto"/>
      </w:divBdr>
    </w:div>
    <w:div w:id="82653429">
      <w:bodyDiv w:val="1"/>
      <w:marLeft w:val="0"/>
      <w:marRight w:val="0"/>
      <w:marTop w:val="0"/>
      <w:marBottom w:val="0"/>
      <w:divBdr>
        <w:top w:val="none" w:sz="0" w:space="0" w:color="auto"/>
        <w:left w:val="none" w:sz="0" w:space="0" w:color="auto"/>
        <w:bottom w:val="none" w:sz="0" w:space="0" w:color="auto"/>
        <w:right w:val="none" w:sz="0" w:space="0" w:color="auto"/>
      </w:divBdr>
    </w:div>
    <w:div w:id="112213453">
      <w:bodyDiv w:val="1"/>
      <w:marLeft w:val="0"/>
      <w:marRight w:val="0"/>
      <w:marTop w:val="0"/>
      <w:marBottom w:val="0"/>
      <w:divBdr>
        <w:top w:val="none" w:sz="0" w:space="0" w:color="auto"/>
        <w:left w:val="none" w:sz="0" w:space="0" w:color="auto"/>
        <w:bottom w:val="none" w:sz="0" w:space="0" w:color="auto"/>
        <w:right w:val="none" w:sz="0" w:space="0" w:color="auto"/>
      </w:divBdr>
    </w:div>
    <w:div w:id="139419915">
      <w:bodyDiv w:val="1"/>
      <w:marLeft w:val="0"/>
      <w:marRight w:val="0"/>
      <w:marTop w:val="0"/>
      <w:marBottom w:val="0"/>
      <w:divBdr>
        <w:top w:val="none" w:sz="0" w:space="0" w:color="auto"/>
        <w:left w:val="none" w:sz="0" w:space="0" w:color="auto"/>
        <w:bottom w:val="none" w:sz="0" w:space="0" w:color="auto"/>
        <w:right w:val="none" w:sz="0" w:space="0" w:color="auto"/>
      </w:divBdr>
    </w:div>
    <w:div w:id="152919317">
      <w:bodyDiv w:val="1"/>
      <w:marLeft w:val="0"/>
      <w:marRight w:val="0"/>
      <w:marTop w:val="0"/>
      <w:marBottom w:val="0"/>
      <w:divBdr>
        <w:top w:val="none" w:sz="0" w:space="0" w:color="auto"/>
        <w:left w:val="none" w:sz="0" w:space="0" w:color="auto"/>
        <w:bottom w:val="none" w:sz="0" w:space="0" w:color="auto"/>
        <w:right w:val="none" w:sz="0" w:space="0" w:color="auto"/>
      </w:divBdr>
    </w:div>
    <w:div w:id="192696180">
      <w:bodyDiv w:val="1"/>
      <w:marLeft w:val="0"/>
      <w:marRight w:val="0"/>
      <w:marTop w:val="0"/>
      <w:marBottom w:val="0"/>
      <w:divBdr>
        <w:top w:val="none" w:sz="0" w:space="0" w:color="auto"/>
        <w:left w:val="none" w:sz="0" w:space="0" w:color="auto"/>
        <w:bottom w:val="none" w:sz="0" w:space="0" w:color="auto"/>
        <w:right w:val="none" w:sz="0" w:space="0" w:color="auto"/>
      </w:divBdr>
    </w:div>
    <w:div w:id="197546156">
      <w:bodyDiv w:val="1"/>
      <w:marLeft w:val="0"/>
      <w:marRight w:val="0"/>
      <w:marTop w:val="0"/>
      <w:marBottom w:val="0"/>
      <w:divBdr>
        <w:top w:val="none" w:sz="0" w:space="0" w:color="auto"/>
        <w:left w:val="none" w:sz="0" w:space="0" w:color="auto"/>
        <w:bottom w:val="none" w:sz="0" w:space="0" w:color="auto"/>
        <w:right w:val="none" w:sz="0" w:space="0" w:color="auto"/>
      </w:divBdr>
    </w:div>
    <w:div w:id="201527546">
      <w:bodyDiv w:val="1"/>
      <w:marLeft w:val="0"/>
      <w:marRight w:val="0"/>
      <w:marTop w:val="0"/>
      <w:marBottom w:val="0"/>
      <w:divBdr>
        <w:top w:val="none" w:sz="0" w:space="0" w:color="auto"/>
        <w:left w:val="none" w:sz="0" w:space="0" w:color="auto"/>
        <w:bottom w:val="none" w:sz="0" w:space="0" w:color="auto"/>
        <w:right w:val="none" w:sz="0" w:space="0" w:color="auto"/>
      </w:divBdr>
    </w:div>
    <w:div w:id="204342293">
      <w:bodyDiv w:val="1"/>
      <w:marLeft w:val="0"/>
      <w:marRight w:val="0"/>
      <w:marTop w:val="0"/>
      <w:marBottom w:val="0"/>
      <w:divBdr>
        <w:top w:val="none" w:sz="0" w:space="0" w:color="auto"/>
        <w:left w:val="none" w:sz="0" w:space="0" w:color="auto"/>
        <w:bottom w:val="none" w:sz="0" w:space="0" w:color="auto"/>
        <w:right w:val="none" w:sz="0" w:space="0" w:color="auto"/>
      </w:divBdr>
    </w:div>
    <w:div w:id="258802795">
      <w:bodyDiv w:val="1"/>
      <w:marLeft w:val="0"/>
      <w:marRight w:val="0"/>
      <w:marTop w:val="0"/>
      <w:marBottom w:val="0"/>
      <w:divBdr>
        <w:top w:val="none" w:sz="0" w:space="0" w:color="auto"/>
        <w:left w:val="none" w:sz="0" w:space="0" w:color="auto"/>
        <w:bottom w:val="none" w:sz="0" w:space="0" w:color="auto"/>
        <w:right w:val="none" w:sz="0" w:space="0" w:color="auto"/>
      </w:divBdr>
    </w:div>
    <w:div w:id="281616427">
      <w:bodyDiv w:val="1"/>
      <w:marLeft w:val="0"/>
      <w:marRight w:val="0"/>
      <w:marTop w:val="0"/>
      <w:marBottom w:val="0"/>
      <w:divBdr>
        <w:top w:val="none" w:sz="0" w:space="0" w:color="auto"/>
        <w:left w:val="none" w:sz="0" w:space="0" w:color="auto"/>
        <w:bottom w:val="none" w:sz="0" w:space="0" w:color="auto"/>
        <w:right w:val="none" w:sz="0" w:space="0" w:color="auto"/>
      </w:divBdr>
    </w:div>
    <w:div w:id="304508021">
      <w:bodyDiv w:val="1"/>
      <w:marLeft w:val="0"/>
      <w:marRight w:val="0"/>
      <w:marTop w:val="0"/>
      <w:marBottom w:val="0"/>
      <w:divBdr>
        <w:top w:val="none" w:sz="0" w:space="0" w:color="auto"/>
        <w:left w:val="none" w:sz="0" w:space="0" w:color="auto"/>
        <w:bottom w:val="none" w:sz="0" w:space="0" w:color="auto"/>
        <w:right w:val="none" w:sz="0" w:space="0" w:color="auto"/>
      </w:divBdr>
    </w:div>
    <w:div w:id="354502924">
      <w:bodyDiv w:val="1"/>
      <w:marLeft w:val="0"/>
      <w:marRight w:val="0"/>
      <w:marTop w:val="0"/>
      <w:marBottom w:val="0"/>
      <w:divBdr>
        <w:top w:val="none" w:sz="0" w:space="0" w:color="auto"/>
        <w:left w:val="none" w:sz="0" w:space="0" w:color="auto"/>
        <w:bottom w:val="none" w:sz="0" w:space="0" w:color="auto"/>
        <w:right w:val="none" w:sz="0" w:space="0" w:color="auto"/>
      </w:divBdr>
    </w:div>
    <w:div w:id="369037325">
      <w:bodyDiv w:val="1"/>
      <w:marLeft w:val="0"/>
      <w:marRight w:val="0"/>
      <w:marTop w:val="0"/>
      <w:marBottom w:val="0"/>
      <w:divBdr>
        <w:top w:val="none" w:sz="0" w:space="0" w:color="auto"/>
        <w:left w:val="none" w:sz="0" w:space="0" w:color="auto"/>
        <w:bottom w:val="none" w:sz="0" w:space="0" w:color="auto"/>
        <w:right w:val="none" w:sz="0" w:space="0" w:color="auto"/>
      </w:divBdr>
    </w:div>
    <w:div w:id="384374234">
      <w:bodyDiv w:val="1"/>
      <w:marLeft w:val="0"/>
      <w:marRight w:val="0"/>
      <w:marTop w:val="0"/>
      <w:marBottom w:val="0"/>
      <w:divBdr>
        <w:top w:val="none" w:sz="0" w:space="0" w:color="auto"/>
        <w:left w:val="none" w:sz="0" w:space="0" w:color="auto"/>
        <w:bottom w:val="none" w:sz="0" w:space="0" w:color="auto"/>
        <w:right w:val="none" w:sz="0" w:space="0" w:color="auto"/>
      </w:divBdr>
    </w:div>
    <w:div w:id="391924880">
      <w:bodyDiv w:val="1"/>
      <w:marLeft w:val="0"/>
      <w:marRight w:val="0"/>
      <w:marTop w:val="0"/>
      <w:marBottom w:val="0"/>
      <w:divBdr>
        <w:top w:val="none" w:sz="0" w:space="0" w:color="auto"/>
        <w:left w:val="none" w:sz="0" w:space="0" w:color="auto"/>
        <w:bottom w:val="none" w:sz="0" w:space="0" w:color="auto"/>
        <w:right w:val="none" w:sz="0" w:space="0" w:color="auto"/>
      </w:divBdr>
    </w:div>
    <w:div w:id="404962039">
      <w:bodyDiv w:val="1"/>
      <w:marLeft w:val="0"/>
      <w:marRight w:val="0"/>
      <w:marTop w:val="0"/>
      <w:marBottom w:val="0"/>
      <w:divBdr>
        <w:top w:val="none" w:sz="0" w:space="0" w:color="auto"/>
        <w:left w:val="none" w:sz="0" w:space="0" w:color="auto"/>
        <w:bottom w:val="none" w:sz="0" w:space="0" w:color="auto"/>
        <w:right w:val="none" w:sz="0" w:space="0" w:color="auto"/>
      </w:divBdr>
    </w:div>
    <w:div w:id="466438326">
      <w:bodyDiv w:val="1"/>
      <w:marLeft w:val="0"/>
      <w:marRight w:val="0"/>
      <w:marTop w:val="0"/>
      <w:marBottom w:val="0"/>
      <w:divBdr>
        <w:top w:val="none" w:sz="0" w:space="0" w:color="auto"/>
        <w:left w:val="none" w:sz="0" w:space="0" w:color="auto"/>
        <w:bottom w:val="none" w:sz="0" w:space="0" w:color="auto"/>
        <w:right w:val="none" w:sz="0" w:space="0" w:color="auto"/>
      </w:divBdr>
    </w:div>
    <w:div w:id="506866077">
      <w:bodyDiv w:val="1"/>
      <w:marLeft w:val="0"/>
      <w:marRight w:val="0"/>
      <w:marTop w:val="0"/>
      <w:marBottom w:val="0"/>
      <w:divBdr>
        <w:top w:val="none" w:sz="0" w:space="0" w:color="auto"/>
        <w:left w:val="none" w:sz="0" w:space="0" w:color="auto"/>
        <w:bottom w:val="none" w:sz="0" w:space="0" w:color="auto"/>
        <w:right w:val="none" w:sz="0" w:space="0" w:color="auto"/>
      </w:divBdr>
    </w:div>
    <w:div w:id="507838809">
      <w:bodyDiv w:val="1"/>
      <w:marLeft w:val="0"/>
      <w:marRight w:val="0"/>
      <w:marTop w:val="0"/>
      <w:marBottom w:val="0"/>
      <w:divBdr>
        <w:top w:val="none" w:sz="0" w:space="0" w:color="auto"/>
        <w:left w:val="none" w:sz="0" w:space="0" w:color="auto"/>
        <w:bottom w:val="none" w:sz="0" w:space="0" w:color="auto"/>
        <w:right w:val="none" w:sz="0" w:space="0" w:color="auto"/>
      </w:divBdr>
    </w:div>
    <w:div w:id="509370875">
      <w:bodyDiv w:val="1"/>
      <w:marLeft w:val="0"/>
      <w:marRight w:val="0"/>
      <w:marTop w:val="0"/>
      <w:marBottom w:val="0"/>
      <w:divBdr>
        <w:top w:val="none" w:sz="0" w:space="0" w:color="auto"/>
        <w:left w:val="none" w:sz="0" w:space="0" w:color="auto"/>
        <w:bottom w:val="none" w:sz="0" w:space="0" w:color="auto"/>
        <w:right w:val="none" w:sz="0" w:space="0" w:color="auto"/>
      </w:divBdr>
    </w:div>
    <w:div w:id="544755665">
      <w:bodyDiv w:val="1"/>
      <w:marLeft w:val="0"/>
      <w:marRight w:val="0"/>
      <w:marTop w:val="0"/>
      <w:marBottom w:val="0"/>
      <w:divBdr>
        <w:top w:val="none" w:sz="0" w:space="0" w:color="auto"/>
        <w:left w:val="none" w:sz="0" w:space="0" w:color="auto"/>
        <w:bottom w:val="none" w:sz="0" w:space="0" w:color="auto"/>
        <w:right w:val="none" w:sz="0" w:space="0" w:color="auto"/>
      </w:divBdr>
    </w:div>
    <w:div w:id="575937806">
      <w:bodyDiv w:val="1"/>
      <w:marLeft w:val="0"/>
      <w:marRight w:val="0"/>
      <w:marTop w:val="0"/>
      <w:marBottom w:val="0"/>
      <w:divBdr>
        <w:top w:val="none" w:sz="0" w:space="0" w:color="auto"/>
        <w:left w:val="none" w:sz="0" w:space="0" w:color="auto"/>
        <w:bottom w:val="none" w:sz="0" w:space="0" w:color="auto"/>
        <w:right w:val="none" w:sz="0" w:space="0" w:color="auto"/>
      </w:divBdr>
    </w:div>
    <w:div w:id="581991400">
      <w:bodyDiv w:val="1"/>
      <w:marLeft w:val="0"/>
      <w:marRight w:val="0"/>
      <w:marTop w:val="0"/>
      <w:marBottom w:val="0"/>
      <w:divBdr>
        <w:top w:val="none" w:sz="0" w:space="0" w:color="auto"/>
        <w:left w:val="none" w:sz="0" w:space="0" w:color="auto"/>
        <w:bottom w:val="none" w:sz="0" w:space="0" w:color="auto"/>
        <w:right w:val="none" w:sz="0" w:space="0" w:color="auto"/>
      </w:divBdr>
    </w:div>
    <w:div w:id="585840516">
      <w:bodyDiv w:val="1"/>
      <w:marLeft w:val="0"/>
      <w:marRight w:val="0"/>
      <w:marTop w:val="0"/>
      <w:marBottom w:val="0"/>
      <w:divBdr>
        <w:top w:val="none" w:sz="0" w:space="0" w:color="auto"/>
        <w:left w:val="none" w:sz="0" w:space="0" w:color="auto"/>
        <w:bottom w:val="none" w:sz="0" w:space="0" w:color="auto"/>
        <w:right w:val="none" w:sz="0" w:space="0" w:color="auto"/>
      </w:divBdr>
    </w:div>
    <w:div w:id="588587115">
      <w:bodyDiv w:val="1"/>
      <w:marLeft w:val="0"/>
      <w:marRight w:val="0"/>
      <w:marTop w:val="0"/>
      <w:marBottom w:val="0"/>
      <w:divBdr>
        <w:top w:val="none" w:sz="0" w:space="0" w:color="auto"/>
        <w:left w:val="none" w:sz="0" w:space="0" w:color="auto"/>
        <w:bottom w:val="none" w:sz="0" w:space="0" w:color="auto"/>
        <w:right w:val="none" w:sz="0" w:space="0" w:color="auto"/>
      </w:divBdr>
    </w:div>
    <w:div w:id="601692816">
      <w:bodyDiv w:val="1"/>
      <w:marLeft w:val="0"/>
      <w:marRight w:val="0"/>
      <w:marTop w:val="0"/>
      <w:marBottom w:val="0"/>
      <w:divBdr>
        <w:top w:val="none" w:sz="0" w:space="0" w:color="auto"/>
        <w:left w:val="none" w:sz="0" w:space="0" w:color="auto"/>
        <w:bottom w:val="none" w:sz="0" w:space="0" w:color="auto"/>
        <w:right w:val="none" w:sz="0" w:space="0" w:color="auto"/>
      </w:divBdr>
    </w:div>
    <w:div w:id="610823298">
      <w:bodyDiv w:val="1"/>
      <w:marLeft w:val="0"/>
      <w:marRight w:val="0"/>
      <w:marTop w:val="0"/>
      <w:marBottom w:val="0"/>
      <w:divBdr>
        <w:top w:val="none" w:sz="0" w:space="0" w:color="auto"/>
        <w:left w:val="none" w:sz="0" w:space="0" w:color="auto"/>
        <w:bottom w:val="none" w:sz="0" w:space="0" w:color="auto"/>
        <w:right w:val="none" w:sz="0" w:space="0" w:color="auto"/>
      </w:divBdr>
    </w:div>
    <w:div w:id="627971641">
      <w:bodyDiv w:val="1"/>
      <w:marLeft w:val="0"/>
      <w:marRight w:val="0"/>
      <w:marTop w:val="0"/>
      <w:marBottom w:val="0"/>
      <w:divBdr>
        <w:top w:val="none" w:sz="0" w:space="0" w:color="auto"/>
        <w:left w:val="none" w:sz="0" w:space="0" w:color="auto"/>
        <w:bottom w:val="none" w:sz="0" w:space="0" w:color="auto"/>
        <w:right w:val="none" w:sz="0" w:space="0" w:color="auto"/>
      </w:divBdr>
    </w:div>
    <w:div w:id="747968030">
      <w:bodyDiv w:val="1"/>
      <w:marLeft w:val="0"/>
      <w:marRight w:val="0"/>
      <w:marTop w:val="0"/>
      <w:marBottom w:val="0"/>
      <w:divBdr>
        <w:top w:val="none" w:sz="0" w:space="0" w:color="auto"/>
        <w:left w:val="none" w:sz="0" w:space="0" w:color="auto"/>
        <w:bottom w:val="none" w:sz="0" w:space="0" w:color="auto"/>
        <w:right w:val="none" w:sz="0" w:space="0" w:color="auto"/>
      </w:divBdr>
    </w:div>
    <w:div w:id="759446522">
      <w:bodyDiv w:val="1"/>
      <w:marLeft w:val="0"/>
      <w:marRight w:val="0"/>
      <w:marTop w:val="0"/>
      <w:marBottom w:val="0"/>
      <w:divBdr>
        <w:top w:val="none" w:sz="0" w:space="0" w:color="auto"/>
        <w:left w:val="none" w:sz="0" w:space="0" w:color="auto"/>
        <w:bottom w:val="none" w:sz="0" w:space="0" w:color="auto"/>
        <w:right w:val="none" w:sz="0" w:space="0" w:color="auto"/>
      </w:divBdr>
    </w:div>
    <w:div w:id="810253407">
      <w:bodyDiv w:val="1"/>
      <w:marLeft w:val="0"/>
      <w:marRight w:val="0"/>
      <w:marTop w:val="0"/>
      <w:marBottom w:val="0"/>
      <w:divBdr>
        <w:top w:val="none" w:sz="0" w:space="0" w:color="auto"/>
        <w:left w:val="none" w:sz="0" w:space="0" w:color="auto"/>
        <w:bottom w:val="none" w:sz="0" w:space="0" w:color="auto"/>
        <w:right w:val="none" w:sz="0" w:space="0" w:color="auto"/>
      </w:divBdr>
    </w:div>
    <w:div w:id="858348898">
      <w:bodyDiv w:val="1"/>
      <w:marLeft w:val="0"/>
      <w:marRight w:val="0"/>
      <w:marTop w:val="0"/>
      <w:marBottom w:val="0"/>
      <w:divBdr>
        <w:top w:val="none" w:sz="0" w:space="0" w:color="auto"/>
        <w:left w:val="none" w:sz="0" w:space="0" w:color="auto"/>
        <w:bottom w:val="none" w:sz="0" w:space="0" w:color="auto"/>
        <w:right w:val="none" w:sz="0" w:space="0" w:color="auto"/>
      </w:divBdr>
    </w:div>
    <w:div w:id="874544650">
      <w:bodyDiv w:val="1"/>
      <w:marLeft w:val="0"/>
      <w:marRight w:val="0"/>
      <w:marTop w:val="0"/>
      <w:marBottom w:val="0"/>
      <w:divBdr>
        <w:top w:val="none" w:sz="0" w:space="0" w:color="auto"/>
        <w:left w:val="none" w:sz="0" w:space="0" w:color="auto"/>
        <w:bottom w:val="none" w:sz="0" w:space="0" w:color="auto"/>
        <w:right w:val="none" w:sz="0" w:space="0" w:color="auto"/>
      </w:divBdr>
    </w:div>
    <w:div w:id="915866454">
      <w:bodyDiv w:val="1"/>
      <w:marLeft w:val="0"/>
      <w:marRight w:val="0"/>
      <w:marTop w:val="0"/>
      <w:marBottom w:val="0"/>
      <w:divBdr>
        <w:top w:val="none" w:sz="0" w:space="0" w:color="auto"/>
        <w:left w:val="none" w:sz="0" w:space="0" w:color="auto"/>
        <w:bottom w:val="none" w:sz="0" w:space="0" w:color="auto"/>
        <w:right w:val="none" w:sz="0" w:space="0" w:color="auto"/>
      </w:divBdr>
    </w:div>
    <w:div w:id="931937250">
      <w:bodyDiv w:val="1"/>
      <w:marLeft w:val="0"/>
      <w:marRight w:val="0"/>
      <w:marTop w:val="0"/>
      <w:marBottom w:val="0"/>
      <w:divBdr>
        <w:top w:val="none" w:sz="0" w:space="0" w:color="auto"/>
        <w:left w:val="none" w:sz="0" w:space="0" w:color="auto"/>
        <w:bottom w:val="none" w:sz="0" w:space="0" w:color="auto"/>
        <w:right w:val="none" w:sz="0" w:space="0" w:color="auto"/>
      </w:divBdr>
    </w:div>
    <w:div w:id="948317380">
      <w:bodyDiv w:val="1"/>
      <w:marLeft w:val="0"/>
      <w:marRight w:val="0"/>
      <w:marTop w:val="0"/>
      <w:marBottom w:val="0"/>
      <w:divBdr>
        <w:top w:val="none" w:sz="0" w:space="0" w:color="auto"/>
        <w:left w:val="none" w:sz="0" w:space="0" w:color="auto"/>
        <w:bottom w:val="none" w:sz="0" w:space="0" w:color="auto"/>
        <w:right w:val="none" w:sz="0" w:space="0" w:color="auto"/>
      </w:divBdr>
    </w:div>
    <w:div w:id="1031421811">
      <w:bodyDiv w:val="1"/>
      <w:marLeft w:val="0"/>
      <w:marRight w:val="0"/>
      <w:marTop w:val="0"/>
      <w:marBottom w:val="0"/>
      <w:divBdr>
        <w:top w:val="none" w:sz="0" w:space="0" w:color="auto"/>
        <w:left w:val="none" w:sz="0" w:space="0" w:color="auto"/>
        <w:bottom w:val="none" w:sz="0" w:space="0" w:color="auto"/>
        <w:right w:val="none" w:sz="0" w:space="0" w:color="auto"/>
      </w:divBdr>
    </w:div>
    <w:div w:id="1041706707">
      <w:bodyDiv w:val="1"/>
      <w:marLeft w:val="0"/>
      <w:marRight w:val="0"/>
      <w:marTop w:val="0"/>
      <w:marBottom w:val="0"/>
      <w:divBdr>
        <w:top w:val="none" w:sz="0" w:space="0" w:color="auto"/>
        <w:left w:val="none" w:sz="0" w:space="0" w:color="auto"/>
        <w:bottom w:val="none" w:sz="0" w:space="0" w:color="auto"/>
        <w:right w:val="none" w:sz="0" w:space="0" w:color="auto"/>
      </w:divBdr>
    </w:div>
    <w:div w:id="1048452438">
      <w:bodyDiv w:val="1"/>
      <w:marLeft w:val="0"/>
      <w:marRight w:val="0"/>
      <w:marTop w:val="0"/>
      <w:marBottom w:val="0"/>
      <w:divBdr>
        <w:top w:val="none" w:sz="0" w:space="0" w:color="auto"/>
        <w:left w:val="none" w:sz="0" w:space="0" w:color="auto"/>
        <w:bottom w:val="none" w:sz="0" w:space="0" w:color="auto"/>
        <w:right w:val="none" w:sz="0" w:space="0" w:color="auto"/>
      </w:divBdr>
    </w:div>
    <w:div w:id="1080634743">
      <w:bodyDiv w:val="1"/>
      <w:marLeft w:val="0"/>
      <w:marRight w:val="0"/>
      <w:marTop w:val="0"/>
      <w:marBottom w:val="0"/>
      <w:divBdr>
        <w:top w:val="none" w:sz="0" w:space="0" w:color="auto"/>
        <w:left w:val="none" w:sz="0" w:space="0" w:color="auto"/>
        <w:bottom w:val="none" w:sz="0" w:space="0" w:color="auto"/>
        <w:right w:val="none" w:sz="0" w:space="0" w:color="auto"/>
      </w:divBdr>
    </w:div>
    <w:div w:id="1215846564">
      <w:bodyDiv w:val="1"/>
      <w:marLeft w:val="0"/>
      <w:marRight w:val="0"/>
      <w:marTop w:val="0"/>
      <w:marBottom w:val="0"/>
      <w:divBdr>
        <w:top w:val="none" w:sz="0" w:space="0" w:color="auto"/>
        <w:left w:val="none" w:sz="0" w:space="0" w:color="auto"/>
        <w:bottom w:val="none" w:sz="0" w:space="0" w:color="auto"/>
        <w:right w:val="none" w:sz="0" w:space="0" w:color="auto"/>
      </w:divBdr>
    </w:div>
    <w:div w:id="1217278366">
      <w:bodyDiv w:val="1"/>
      <w:marLeft w:val="0"/>
      <w:marRight w:val="0"/>
      <w:marTop w:val="0"/>
      <w:marBottom w:val="0"/>
      <w:divBdr>
        <w:top w:val="none" w:sz="0" w:space="0" w:color="auto"/>
        <w:left w:val="none" w:sz="0" w:space="0" w:color="auto"/>
        <w:bottom w:val="none" w:sz="0" w:space="0" w:color="auto"/>
        <w:right w:val="none" w:sz="0" w:space="0" w:color="auto"/>
      </w:divBdr>
    </w:div>
    <w:div w:id="1339696293">
      <w:bodyDiv w:val="1"/>
      <w:marLeft w:val="0"/>
      <w:marRight w:val="0"/>
      <w:marTop w:val="0"/>
      <w:marBottom w:val="0"/>
      <w:divBdr>
        <w:top w:val="none" w:sz="0" w:space="0" w:color="auto"/>
        <w:left w:val="none" w:sz="0" w:space="0" w:color="auto"/>
        <w:bottom w:val="none" w:sz="0" w:space="0" w:color="auto"/>
        <w:right w:val="none" w:sz="0" w:space="0" w:color="auto"/>
      </w:divBdr>
    </w:div>
    <w:div w:id="1423985840">
      <w:bodyDiv w:val="1"/>
      <w:marLeft w:val="0"/>
      <w:marRight w:val="0"/>
      <w:marTop w:val="0"/>
      <w:marBottom w:val="0"/>
      <w:divBdr>
        <w:top w:val="none" w:sz="0" w:space="0" w:color="auto"/>
        <w:left w:val="none" w:sz="0" w:space="0" w:color="auto"/>
        <w:bottom w:val="none" w:sz="0" w:space="0" w:color="auto"/>
        <w:right w:val="none" w:sz="0" w:space="0" w:color="auto"/>
      </w:divBdr>
    </w:div>
    <w:div w:id="1429891169">
      <w:bodyDiv w:val="1"/>
      <w:marLeft w:val="0"/>
      <w:marRight w:val="0"/>
      <w:marTop w:val="0"/>
      <w:marBottom w:val="0"/>
      <w:divBdr>
        <w:top w:val="none" w:sz="0" w:space="0" w:color="auto"/>
        <w:left w:val="none" w:sz="0" w:space="0" w:color="auto"/>
        <w:bottom w:val="none" w:sz="0" w:space="0" w:color="auto"/>
        <w:right w:val="none" w:sz="0" w:space="0" w:color="auto"/>
      </w:divBdr>
    </w:div>
    <w:div w:id="1450784703">
      <w:bodyDiv w:val="1"/>
      <w:marLeft w:val="0"/>
      <w:marRight w:val="0"/>
      <w:marTop w:val="0"/>
      <w:marBottom w:val="0"/>
      <w:divBdr>
        <w:top w:val="none" w:sz="0" w:space="0" w:color="auto"/>
        <w:left w:val="none" w:sz="0" w:space="0" w:color="auto"/>
        <w:bottom w:val="none" w:sz="0" w:space="0" w:color="auto"/>
        <w:right w:val="none" w:sz="0" w:space="0" w:color="auto"/>
      </w:divBdr>
    </w:div>
    <w:div w:id="1481458713">
      <w:bodyDiv w:val="1"/>
      <w:marLeft w:val="0"/>
      <w:marRight w:val="0"/>
      <w:marTop w:val="0"/>
      <w:marBottom w:val="0"/>
      <w:divBdr>
        <w:top w:val="none" w:sz="0" w:space="0" w:color="auto"/>
        <w:left w:val="none" w:sz="0" w:space="0" w:color="auto"/>
        <w:bottom w:val="none" w:sz="0" w:space="0" w:color="auto"/>
        <w:right w:val="none" w:sz="0" w:space="0" w:color="auto"/>
      </w:divBdr>
    </w:div>
    <w:div w:id="1497841982">
      <w:bodyDiv w:val="1"/>
      <w:marLeft w:val="0"/>
      <w:marRight w:val="0"/>
      <w:marTop w:val="0"/>
      <w:marBottom w:val="0"/>
      <w:divBdr>
        <w:top w:val="none" w:sz="0" w:space="0" w:color="auto"/>
        <w:left w:val="none" w:sz="0" w:space="0" w:color="auto"/>
        <w:bottom w:val="none" w:sz="0" w:space="0" w:color="auto"/>
        <w:right w:val="none" w:sz="0" w:space="0" w:color="auto"/>
      </w:divBdr>
    </w:div>
    <w:div w:id="1531800343">
      <w:bodyDiv w:val="1"/>
      <w:marLeft w:val="0"/>
      <w:marRight w:val="0"/>
      <w:marTop w:val="0"/>
      <w:marBottom w:val="0"/>
      <w:divBdr>
        <w:top w:val="none" w:sz="0" w:space="0" w:color="auto"/>
        <w:left w:val="none" w:sz="0" w:space="0" w:color="auto"/>
        <w:bottom w:val="none" w:sz="0" w:space="0" w:color="auto"/>
        <w:right w:val="none" w:sz="0" w:space="0" w:color="auto"/>
      </w:divBdr>
    </w:div>
    <w:div w:id="1547447222">
      <w:bodyDiv w:val="1"/>
      <w:marLeft w:val="0"/>
      <w:marRight w:val="0"/>
      <w:marTop w:val="0"/>
      <w:marBottom w:val="0"/>
      <w:divBdr>
        <w:top w:val="none" w:sz="0" w:space="0" w:color="auto"/>
        <w:left w:val="none" w:sz="0" w:space="0" w:color="auto"/>
        <w:bottom w:val="none" w:sz="0" w:space="0" w:color="auto"/>
        <w:right w:val="none" w:sz="0" w:space="0" w:color="auto"/>
      </w:divBdr>
    </w:div>
    <w:div w:id="1574660989">
      <w:bodyDiv w:val="1"/>
      <w:marLeft w:val="0"/>
      <w:marRight w:val="0"/>
      <w:marTop w:val="0"/>
      <w:marBottom w:val="0"/>
      <w:divBdr>
        <w:top w:val="none" w:sz="0" w:space="0" w:color="auto"/>
        <w:left w:val="none" w:sz="0" w:space="0" w:color="auto"/>
        <w:bottom w:val="none" w:sz="0" w:space="0" w:color="auto"/>
        <w:right w:val="none" w:sz="0" w:space="0" w:color="auto"/>
      </w:divBdr>
    </w:div>
    <w:div w:id="1665352555">
      <w:bodyDiv w:val="1"/>
      <w:marLeft w:val="0"/>
      <w:marRight w:val="0"/>
      <w:marTop w:val="0"/>
      <w:marBottom w:val="0"/>
      <w:divBdr>
        <w:top w:val="none" w:sz="0" w:space="0" w:color="auto"/>
        <w:left w:val="none" w:sz="0" w:space="0" w:color="auto"/>
        <w:bottom w:val="none" w:sz="0" w:space="0" w:color="auto"/>
        <w:right w:val="none" w:sz="0" w:space="0" w:color="auto"/>
      </w:divBdr>
    </w:div>
    <w:div w:id="1676765720">
      <w:bodyDiv w:val="1"/>
      <w:marLeft w:val="0"/>
      <w:marRight w:val="0"/>
      <w:marTop w:val="0"/>
      <w:marBottom w:val="0"/>
      <w:divBdr>
        <w:top w:val="none" w:sz="0" w:space="0" w:color="auto"/>
        <w:left w:val="none" w:sz="0" w:space="0" w:color="auto"/>
        <w:bottom w:val="none" w:sz="0" w:space="0" w:color="auto"/>
        <w:right w:val="none" w:sz="0" w:space="0" w:color="auto"/>
      </w:divBdr>
    </w:div>
    <w:div w:id="1717193902">
      <w:bodyDiv w:val="1"/>
      <w:marLeft w:val="0"/>
      <w:marRight w:val="0"/>
      <w:marTop w:val="0"/>
      <w:marBottom w:val="0"/>
      <w:divBdr>
        <w:top w:val="none" w:sz="0" w:space="0" w:color="auto"/>
        <w:left w:val="none" w:sz="0" w:space="0" w:color="auto"/>
        <w:bottom w:val="none" w:sz="0" w:space="0" w:color="auto"/>
        <w:right w:val="none" w:sz="0" w:space="0" w:color="auto"/>
      </w:divBdr>
    </w:div>
    <w:div w:id="1772428956">
      <w:bodyDiv w:val="1"/>
      <w:marLeft w:val="0"/>
      <w:marRight w:val="0"/>
      <w:marTop w:val="0"/>
      <w:marBottom w:val="0"/>
      <w:divBdr>
        <w:top w:val="none" w:sz="0" w:space="0" w:color="auto"/>
        <w:left w:val="none" w:sz="0" w:space="0" w:color="auto"/>
        <w:bottom w:val="none" w:sz="0" w:space="0" w:color="auto"/>
        <w:right w:val="none" w:sz="0" w:space="0" w:color="auto"/>
      </w:divBdr>
    </w:div>
    <w:div w:id="1818958667">
      <w:bodyDiv w:val="1"/>
      <w:marLeft w:val="0"/>
      <w:marRight w:val="0"/>
      <w:marTop w:val="0"/>
      <w:marBottom w:val="0"/>
      <w:divBdr>
        <w:top w:val="none" w:sz="0" w:space="0" w:color="auto"/>
        <w:left w:val="none" w:sz="0" w:space="0" w:color="auto"/>
        <w:bottom w:val="none" w:sz="0" w:space="0" w:color="auto"/>
        <w:right w:val="none" w:sz="0" w:space="0" w:color="auto"/>
      </w:divBdr>
    </w:div>
    <w:div w:id="1868058221">
      <w:bodyDiv w:val="1"/>
      <w:marLeft w:val="0"/>
      <w:marRight w:val="0"/>
      <w:marTop w:val="0"/>
      <w:marBottom w:val="0"/>
      <w:divBdr>
        <w:top w:val="none" w:sz="0" w:space="0" w:color="auto"/>
        <w:left w:val="none" w:sz="0" w:space="0" w:color="auto"/>
        <w:bottom w:val="none" w:sz="0" w:space="0" w:color="auto"/>
        <w:right w:val="none" w:sz="0" w:space="0" w:color="auto"/>
      </w:divBdr>
    </w:div>
    <w:div w:id="1871332129">
      <w:bodyDiv w:val="1"/>
      <w:marLeft w:val="0"/>
      <w:marRight w:val="0"/>
      <w:marTop w:val="0"/>
      <w:marBottom w:val="0"/>
      <w:divBdr>
        <w:top w:val="none" w:sz="0" w:space="0" w:color="auto"/>
        <w:left w:val="none" w:sz="0" w:space="0" w:color="auto"/>
        <w:bottom w:val="none" w:sz="0" w:space="0" w:color="auto"/>
        <w:right w:val="none" w:sz="0" w:space="0" w:color="auto"/>
      </w:divBdr>
    </w:div>
    <w:div w:id="1874683434">
      <w:bodyDiv w:val="1"/>
      <w:marLeft w:val="0"/>
      <w:marRight w:val="0"/>
      <w:marTop w:val="0"/>
      <w:marBottom w:val="0"/>
      <w:divBdr>
        <w:top w:val="none" w:sz="0" w:space="0" w:color="auto"/>
        <w:left w:val="none" w:sz="0" w:space="0" w:color="auto"/>
        <w:bottom w:val="none" w:sz="0" w:space="0" w:color="auto"/>
        <w:right w:val="none" w:sz="0" w:space="0" w:color="auto"/>
      </w:divBdr>
    </w:div>
    <w:div w:id="1892762315">
      <w:bodyDiv w:val="1"/>
      <w:marLeft w:val="0"/>
      <w:marRight w:val="0"/>
      <w:marTop w:val="0"/>
      <w:marBottom w:val="0"/>
      <w:divBdr>
        <w:top w:val="none" w:sz="0" w:space="0" w:color="auto"/>
        <w:left w:val="none" w:sz="0" w:space="0" w:color="auto"/>
        <w:bottom w:val="none" w:sz="0" w:space="0" w:color="auto"/>
        <w:right w:val="none" w:sz="0" w:space="0" w:color="auto"/>
      </w:divBdr>
    </w:div>
    <w:div w:id="1936596569">
      <w:bodyDiv w:val="1"/>
      <w:marLeft w:val="0"/>
      <w:marRight w:val="0"/>
      <w:marTop w:val="0"/>
      <w:marBottom w:val="0"/>
      <w:divBdr>
        <w:top w:val="none" w:sz="0" w:space="0" w:color="auto"/>
        <w:left w:val="none" w:sz="0" w:space="0" w:color="auto"/>
        <w:bottom w:val="none" w:sz="0" w:space="0" w:color="auto"/>
        <w:right w:val="none" w:sz="0" w:space="0" w:color="auto"/>
      </w:divBdr>
    </w:div>
    <w:div w:id="1942184317">
      <w:bodyDiv w:val="1"/>
      <w:marLeft w:val="0"/>
      <w:marRight w:val="0"/>
      <w:marTop w:val="0"/>
      <w:marBottom w:val="0"/>
      <w:divBdr>
        <w:top w:val="none" w:sz="0" w:space="0" w:color="auto"/>
        <w:left w:val="none" w:sz="0" w:space="0" w:color="auto"/>
        <w:bottom w:val="none" w:sz="0" w:space="0" w:color="auto"/>
        <w:right w:val="none" w:sz="0" w:space="0" w:color="auto"/>
      </w:divBdr>
    </w:div>
    <w:div w:id="1943679170">
      <w:bodyDiv w:val="1"/>
      <w:marLeft w:val="0"/>
      <w:marRight w:val="0"/>
      <w:marTop w:val="0"/>
      <w:marBottom w:val="0"/>
      <w:divBdr>
        <w:top w:val="none" w:sz="0" w:space="0" w:color="auto"/>
        <w:left w:val="none" w:sz="0" w:space="0" w:color="auto"/>
        <w:bottom w:val="none" w:sz="0" w:space="0" w:color="auto"/>
        <w:right w:val="none" w:sz="0" w:space="0" w:color="auto"/>
      </w:divBdr>
    </w:div>
    <w:div w:id="2017538249">
      <w:bodyDiv w:val="1"/>
      <w:marLeft w:val="0"/>
      <w:marRight w:val="0"/>
      <w:marTop w:val="0"/>
      <w:marBottom w:val="0"/>
      <w:divBdr>
        <w:top w:val="none" w:sz="0" w:space="0" w:color="auto"/>
        <w:left w:val="none" w:sz="0" w:space="0" w:color="auto"/>
        <w:bottom w:val="none" w:sz="0" w:space="0" w:color="auto"/>
        <w:right w:val="none" w:sz="0" w:space="0" w:color="auto"/>
      </w:divBdr>
    </w:div>
    <w:div w:id="2065442919">
      <w:bodyDiv w:val="1"/>
      <w:marLeft w:val="0"/>
      <w:marRight w:val="0"/>
      <w:marTop w:val="0"/>
      <w:marBottom w:val="0"/>
      <w:divBdr>
        <w:top w:val="none" w:sz="0" w:space="0" w:color="auto"/>
        <w:left w:val="none" w:sz="0" w:space="0" w:color="auto"/>
        <w:bottom w:val="none" w:sz="0" w:space="0" w:color="auto"/>
        <w:right w:val="none" w:sz="0" w:space="0" w:color="auto"/>
      </w:divBdr>
    </w:div>
    <w:div w:id="2103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9F14C124D1A4C8D3CE71B962DC99D" ma:contentTypeVersion="15" ma:contentTypeDescription="Create a new document." ma:contentTypeScope="" ma:versionID="9880266b7bb87dbcf6ca01a20516f936">
  <xsd:schema xmlns:xsd="http://www.w3.org/2001/XMLSchema" xmlns:xs="http://www.w3.org/2001/XMLSchema" xmlns:p="http://schemas.microsoft.com/office/2006/metadata/properties" xmlns:ns1="http://schemas.microsoft.com/sharepoint/v3" xmlns:ns3="cfcbb75b-acdc-49fb-91ee-cb4f9da4e282" xmlns:ns4="80ce67f9-ee3c-43b2-82e8-eb3ec23d814b" targetNamespace="http://schemas.microsoft.com/office/2006/metadata/properties" ma:root="true" ma:fieldsID="f0a4388ec57e20e6edb3fe9e6715dfbf" ns1:_="" ns3:_="" ns4:_="">
    <xsd:import namespace="http://schemas.microsoft.com/sharepoint/v3"/>
    <xsd:import namespace="cfcbb75b-acdc-49fb-91ee-cb4f9da4e282"/>
    <xsd:import namespace="80ce67f9-ee3c-43b2-82e8-eb3ec23d81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bb75b-acdc-49fb-91ee-cb4f9da4e2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67f9-ee3c-43b2-82e8-eb3ec23d81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78B9A-1B98-4134-9E1C-73D87A955D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9ECABF-05D1-4B7B-A193-791FF4C6FE0E}">
  <ds:schemaRefs>
    <ds:schemaRef ds:uri="http://schemas.microsoft.com/sharepoint/v3/contenttype/forms"/>
  </ds:schemaRefs>
</ds:datastoreItem>
</file>

<file path=customXml/itemProps3.xml><?xml version="1.0" encoding="utf-8"?>
<ds:datastoreItem xmlns:ds="http://schemas.openxmlformats.org/officeDocument/2006/customXml" ds:itemID="{DB0A667D-3CF0-49C5-9972-6D218812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cbb75b-acdc-49fb-91ee-cb4f9da4e282"/>
    <ds:schemaRef ds:uri="80ce67f9-ee3c-43b2-82e8-eb3ec23d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17</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Pillar 3 Disclosures</vt:lpstr>
    </vt:vector>
  </TitlesOfParts>
  <Company>Wal-Mart Stores, Inc.</Company>
  <LinksUpToDate>false</LinksUpToDate>
  <CharactersWithSpaces>25587</CharactersWithSpaces>
  <SharedDoc>false</SharedDoc>
  <HLinks>
    <vt:vector size="138" baseType="variant">
      <vt:variant>
        <vt:i4>1638460</vt:i4>
      </vt:variant>
      <vt:variant>
        <vt:i4>134</vt:i4>
      </vt:variant>
      <vt:variant>
        <vt:i4>0</vt:i4>
      </vt:variant>
      <vt:variant>
        <vt:i4>5</vt:i4>
      </vt:variant>
      <vt:variant>
        <vt:lpwstr/>
      </vt:variant>
      <vt:variant>
        <vt:lpwstr>_Toc479865744</vt:lpwstr>
      </vt:variant>
      <vt:variant>
        <vt:i4>1638460</vt:i4>
      </vt:variant>
      <vt:variant>
        <vt:i4>128</vt:i4>
      </vt:variant>
      <vt:variant>
        <vt:i4>0</vt:i4>
      </vt:variant>
      <vt:variant>
        <vt:i4>5</vt:i4>
      </vt:variant>
      <vt:variant>
        <vt:lpwstr/>
      </vt:variant>
      <vt:variant>
        <vt:lpwstr>_Toc479865743</vt:lpwstr>
      </vt:variant>
      <vt:variant>
        <vt:i4>1638460</vt:i4>
      </vt:variant>
      <vt:variant>
        <vt:i4>122</vt:i4>
      </vt:variant>
      <vt:variant>
        <vt:i4>0</vt:i4>
      </vt:variant>
      <vt:variant>
        <vt:i4>5</vt:i4>
      </vt:variant>
      <vt:variant>
        <vt:lpwstr/>
      </vt:variant>
      <vt:variant>
        <vt:lpwstr>_Toc479865742</vt:lpwstr>
      </vt:variant>
      <vt:variant>
        <vt:i4>1638460</vt:i4>
      </vt:variant>
      <vt:variant>
        <vt:i4>116</vt:i4>
      </vt:variant>
      <vt:variant>
        <vt:i4>0</vt:i4>
      </vt:variant>
      <vt:variant>
        <vt:i4>5</vt:i4>
      </vt:variant>
      <vt:variant>
        <vt:lpwstr/>
      </vt:variant>
      <vt:variant>
        <vt:lpwstr>_Toc479865741</vt:lpwstr>
      </vt:variant>
      <vt:variant>
        <vt:i4>1638460</vt:i4>
      </vt:variant>
      <vt:variant>
        <vt:i4>110</vt:i4>
      </vt:variant>
      <vt:variant>
        <vt:i4>0</vt:i4>
      </vt:variant>
      <vt:variant>
        <vt:i4>5</vt:i4>
      </vt:variant>
      <vt:variant>
        <vt:lpwstr/>
      </vt:variant>
      <vt:variant>
        <vt:lpwstr>_Toc479865740</vt:lpwstr>
      </vt:variant>
      <vt:variant>
        <vt:i4>1966140</vt:i4>
      </vt:variant>
      <vt:variant>
        <vt:i4>104</vt:i4>
      </vt:variant>
      <vt:variant>
        <vt:i4>0</vt:i4>
      </vt:variant>
      <vt:variant>
        <vt:i4>5</vt:i4>
      </vt:variant>
      <vt:variant>
        <vt:lpwstr/>
      </vt:variant>
      <vt:variant>
        <vt:lpwstr>_Toc479865739</vt:lpwstr>
      </vt:variant>
      <vt:variant>
        <vt:i4>1966140</vt:i4>
      </vt:variant>
      <vt:variant>
        <vt:i4>98</vt:i4>
      </vt:variant>
      <vt:variant>
        <vt:i4>0</vt:i4>
      </vt:variant>
      <vt:variant>
        <vt:i4>5</vt:i4>
      </vt:variant>
      <vt:variant>
        <vt:lpwstr/>
      </vt:variant>
      <vt:variant>
        <vt:lpwstr>_Toc479865738</vt:lpwstr>
      </vt:variant>
      <vt:variant>
        <vt:i4>1966140</vt:i4>
      </vt:variant>
      <vt:variant>
        <vt:i4>92</vt:i4>
      </vt:variant>
      <vt:variant>
        <vt:i4>0</vt:i4>
      </vt:variant>
      <vt:variant>
        <vt:i4>5</vt:i4>
      </vt:variant>
      <vt:variant>
        <vt:lpwstr/>
      </vt:variant>
      <vt:variant>
        <vt:lpwstr>_Toc479865737</vt:lpwstr>
      </vt:variant>
      <vt:variant>
        <vt:i4>1966140</vt:i4>
      </vt:variant>
      <vt:variant>
        <vt:i4>86</vt:i4>
      </vt:variant>
      <vt:variant>
        <vt:i4>0</vt:i4>
      </vt:variant>
      <vt:variant>
        <vt:i4>5</vt:i4>
      </vt:variant>
      <vt:variant>
        <vt:lpwstr/>
      </vt:variant>
      <vt:variant>
        <vt:lpwstr>_Toc479865736</vt:lpwstr>
      </vt:variant>
      <vt:variant>
        <vt:i4>1966140</vt:i4>
      </vt:variant>
      <vt:variant>
        <vt:i4>80</vt:i4>
      </vt:variant>
      <vt:variant>
        <vt:i4>0</vt:i4>
      </vt:variant>
      <vt:variant>
        <vt:i4>5</vt:i4>
      </vt:variant>
      <vt:variant>
        <vt:lpwstr/>
      </vt:variant>
      <vt:variant>
        <vt:lpwstr>_Toc479865735</vt:lpwstr>
      </vt:variant>
      <vt:variant>
        <vt:i4>1966140</vt:i4>
      </vt:variant>
      <vt:variant>
        <vt:i4>74</vt:i4>
      </vt:variant>
      <vt:variant>
        <vt:i4>0</vt:i4>
      </vt:variant>
      <vt:variant>
        <vt:i4>5</vt:i4>
      </vt:variant>
      <vt:variant>
        <vt:lpwstr/>
      </vt:variant>
      <vt:variant>
        <vt:lpwstr>_Toc479865734</vt:lpwstr>
      </vt:variant>
      <vt:variant>
        <vt:i4>1966140</vt:i4>
      </vt:variant>
      <vt:variant>
        <vt:i4>68</vt:i4>
      </vt:variant>
      <vt:variant>
        <vt:i4>0</vt:i4>
      </vt:variant>
      <vt:variant>
        <vt:i4>5</vt:i4>
      </vt:variant>
      <vt:variant>
        <vt:lpwstr/>
      </vt:variant>
      <vt:variant>
        <vt:lpwstr>_Toc479865733</vt:lpwstr>
      </vt:variant>
      <vt:variant>
        <vt:i4>1966140</vt:i4>
      </vt:variant>
      <vt:variant>
        <vt:i4>62</vt:i4>
      </vt:variant>
      <vt:variant>
        <vt:i4>0</vt:i4>
      </vt:variant>
      <vt:variant>
        <vt:i4>5</vt:i4>
      </vt:variant>
      <vt:variant>
        <vt:lpwstr/>
      </vt:variant>
      <vt:variant>
        <vt:lpwstr>_Toc479865732</vt:lpwstr>
      </vt:variant>
      <vt:variant>
        <vt:i4>1966140</vt:i4>
      </vt:variant>
      <vt:variant>
        <vt:i4>56</vt:i4>
      </vt:variant>
      <vt:variant>
        <vt:i4>0</vt:i4>
      </vt:variant>
      <vt:variant>
        <vt:i4>5</vt:i4>
      </vt:variant>
      <vt:variant>
        <vt:lpwstr/>
      </vt:variant>
      <vt:variant>
        <vt:lpwstr>_Toc479865731</vt:lpwstr>
      </vt:variant>
      <vt:variant>
        <vt:i4>1966140</vt:i4>
      </vt:variant>
      <vt:variant>
        <vt:i4>50</vt:i4>
      </vt:variant>
      <vt:variant>
        <vt:i4>0</vt:i4>
      </vt:variant>
      <vt:variant>
        <vt:i4>5</vt:i4>
      </vt:variant>
      <vt:variant>
        <vt:lpwstr/>
      </vt:variant>
      <vt:variant>
        <vt:lpwstr>_Toc479865730</vt:lpwstr>
      </vt:variant>
      <vt:variant>
        <vt:i4>2031676</vt:i4>
      </vt:variant>
      <vt:variant>
        <vt:i4>44</vt:i4>
      </vt:variant>
      <vt:variant>
        <vt:i4>0</vt:i4>
      </vt:variant>
      <vt:variant>
        <vt:i4>5</vt:i4>
      </vt:variant>
      <vt:variant>
        <vt:lpwstr/>
      </vt:variant>
      <vt:variant>
        <vt:lpwstr>_Toc479865729</vt:lpwstr>
      </vt:variant>
      <vt:variant>
        <vt:i4>2031676</vt:i4>
      </vt:variant>
      <vt:variant>
        <vt:i4>38</vt:i4>
      </vt:variant>
      <vt:variant>
        <vt:i4>0</vt:i4>
      </vt:variant>
      <vt:variant>
        <vt:i4>5</vt:i4>
      </vt:variant>
      <vt:variant>
        <vt:lpwstr/>
      </vt:variant>
      <vt:variant>
        <vt:lpwstr>_Toc479865728</vt:lpwstr>
      </vt:variant>
      <vt:variant>
        <vt:i4>2031676</vt:i4>
      </vt:variant>
      <vt:variant>
        <vt:i4>32</vt:i4>
      </vt:variant>
      <vt:variant>
        <vt:i4>0</vt:i4>
      </vt:variant>
      <vt:variant>
        <vt:i4>5</vt:i4>
      </vt:variant>
      <vt:variant>
        <vt:lpwstr/>
      </vt:variant>
      <vt:variant>
        <vt:lpwstr>_Toc479865727</vt:lpwstr>
      </vt:variant>
      <vt:variant>
        <vt:i4>2031676</vt:i4>
      </vt:variant>
      <vt:variant>
        <vt:i4>26</vt:i4>
      </vt:variant>
      <vt:variant>
        <vt:i4>0</vt:i4>
      </vt:variant>
      <vt:variant>
        <vt:i4>5</vt:i4>
      </vt:variant>
      <vt:variant>
        <vt:lpwstr/>
      </vt:variant>
      <vt:variant>
        <vt:lpwstr>_Toc479865726</vt:lpwstr>
      </vt:variant>
      <vt:variant>
        <vt:i4>2031676</vt:i4>
      </vt:variant>
      <vt:variant>
        <vt:i4>20</vt:i4>
      </vt:variant>
      <vt:variant>
        <vt:i4>0</vt:i4>
      </vt:variant>
      <vt:variant>
        <vt:i4>5</vt:i4>
      </vt:variant>
      <vt:variant>
        <vt:lpwstr/>
      </vt:variant>
      <vt:variant>
        <vt:lpwstr>_Toc479865725</vt:lpwstr>
      </vt:variant>
      <vt:variant>
        <vt:i4>2031676</vt:i4>
      </vt:variant>
      <vt:variant>
        <vt:i4>14</vt:i4>
      </vt:variant>
      <vt:variant>
        <vt:i4>0</vt:i4>
      </vt:variant>
      <vt:variant>
        <vt:i4>5</vt:i4>
      </vt:variant>
      <vt:variant>
        <vt:lpwstr/>
      </vt:variant>
      <vt:variant>
        <vt:lpwstr>_Toc479865724</vt:lpwstr>
      </vt:variant>
      <vt:variant>
        <vt:i4>2031676</vt:i4>
      </vt:variant>
      <vt:variant>
        <vt:i4>8</vt:i4>
      </vt:variant>
      <vt:variant>
        <vt:i4>0</vt:i4>
      </vt:variant>
      <vt:variant>
        <vt:i4>5</vt:i4>
      </vt:variant>
      <vt:variant>
        <vt:lpwstr/>
      </vt:variant>
      <vt:variant>
        <vt:lpwstr>_Toc479865723</vt:lpwstr>
      </vt:variant>
      <vt:variant>
        <vt:i4>2031676</vt:i4>
      </vt:variant>
      <vt:variant>
        <vt:i4>2</vt:i4>
      </vt:variant>
      <vt:variant>
        <vt:i4>0</vt:i4>
      </vt:variant>
      <vt:variant>
        <vt:i4>5</vt:i4>
      </vt:variant>
      <vt:variant>
        <vt:lpwstr/>
      </vt:variant>
      <vt:variant>
        <vt:lpwstr>_Toc479865722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 3 Disclosures</dc:title>
  <dc:creator>Andrew Stranz</dc:creator>
  <cp:lastModifiedBy>Cindy Campbell</cp:lastModifiedBy>
  <cp:revision>16</cp:revision>
  <cp:lastPrinted>2020-01-03T18:46:00Z</cp:lastPrinted>
  <dcterms:created xsi:type="dcterms:W3CDTF">2020-05-13T14:05:00Z</dcterms:created>
  <dcterms:modified xsi:type="dcterms:W3CDTF">2020-05-20T17:50:00Z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392453114</vt:i4>
  </property>
  <property fmtid="{D5CDD505-2E9C-101B-9397-08002B2CF9AE}" pid="4" name="_EmailSubject">
    <vt:lpwstr>Translation Request - Q3 2019 Duo Bank Basel 3 Disclosures Sept 2019</vt:lpwstr>
  </property>
  <property fmtid="{D5CDD505-2E9C-101B-9397-08002B2CF9AE}" pid="5" name="_AuthorEmail">
    <vt:lpwstr>cindy.campbell@duobank.com</vt:lpwstr>
  </property>
  <property fmtid="{D5CDD505-2E9C-101B-9397-08002B2CF9AE}" pid="6" name="_AuthorEmailDisplayName">
    <vt:lpwstr>Cindy Campbell</vt:lpwstr>
  </property>
  <property fmtid="{D5CDD505-2E9C-101B-9397-08002B2CF9AE}" pid="7" name="_ReviewingToolsShownOnce">
    <vt:lpwstr/>
  </property>
  <property fmtid="{D5CDD505-2E9C-101B-9397-08002B2CF9AE}" pid="8" name="ContentTypeId">
    <vt:lpwstr>0x0101005449F14C124D1A4C8D3CE71B962DC99D</vt:lpwstr>
  </property>
</Properties>
</file>