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7D9A" w14:textId="71011DB6" w:rsidR="00BF65B5" w:rsidRDefault="00FC6C69" w:rsidP="00F8126E">
      <w:pPr>
        <w:autoSpaceDE w:val="0"/>
        <w:autoSpaceDN w:val="0"/>
        <w:adjustRightInd w:val="0"/>
        <w:jc w:val="right"/>
        <w:rPr>
          <w:rFonts w:ascii="Arial" w:hAnsi="Arial" w:cs="Arial"/>
          <w:color w:val="007DC3"/>
          <w:sz w:val="46"/>
          <w:szCs w:val="46"/>
        </w:rPr>
      </w:pPr>
      <w:r>
        <w:rPr>
          <w:rFonts w:ascii="Arial" w:hAnsi="Arial" w:cs="Arial"/>
          <w:noProof/>
          <w:color w:val="007DC3"/>
          <w:sz w:val="46"/>
          <w:szCs w:val="46"/>
          <w:lang w:val="en-US" w:eastAsia="en-US"/>
        </w:rPr>
        <w:drawing>
          <wp:inline distT="0" distB="0" distL="0" distR="0" wp14:anchorId="52DDB71E" wp14:editId="1EC6D83C">
            <wp:extent cx="2195610" cy="850900"/>
            <wp:effectExtent l="0" t="0" r="0" b="0"/>
            <wp:docPr id="1" name="Picture 1" descr="M:\Marketing\Acquisition &amp; Activation\NewCo Bank Launch\Branding\Logos\Duo Bank TM Logos\DUOBANK_TM_LOGOS_190305\DUOBANK_TM_LOGOS_190305\BANQUEDUO_LOGOS_FRENCH_190305\BANQUEDUO_MC_COLOURS\banqueduo_MC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arketing\Acquisition &amp; Activation\NewCo Bank Launch\Branding\Logos\Duo Bank TM Logos\DUOBANK_TM_LOGOS_190305\DUOBANK_TM_LOGOS_190305\BANQUEDUO_LOGOS_FRENCH_190305\BANQUEDUO_MC_COLOURS\banqueduo_MC_rgb.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95015" cy="850669"/>
                    </a:xfrm>
                    <a:prstGeom prst="rect">
                      <a:avLst/>
                    </a:prstGeom>
                    <a:noFill/>
                    <a:ln>
                      <a:noFill/>
                    </a:ln>
                  </pic:spPr>
                </pic:pic>
              </a:graphicData>
            </a:graphic>
          </wp:inline>
        </w:drawing>
      </w:r>
    </w:p>
    <w:p w14:paraId="13B85A3C" w14:textId="77777777" w:rsidR="00C05D28" w:rsidRDefault="00C05D28" w:rsidP="00E53226">
      <w:pPr>
        <w:rPr>
          <w:rFonts w:ascii="Arial" w:hAnsi="Arial" w:cs="Arial"/>
          <w:color w:val="007DC3"/>
          <w:sz w:val="46"/>
          <w:szCs w:val="46"/>
          <w:lang w:val="en-US" w:eastAsia="en-US"/>
        </w:rPr>
      </w:pPr>
    </w:p>
    <w:p w14:paraId="226A68BF" w14:textId="77777777" w:rsidR="009D46C5" w:rsidRPr="00197953" w:rsidRDefault="00C05D28" w:rsidP="00E53226">
      <w:r>
        <w:rPr>
          <w:sz w:val="22"/>
          <w:szCs w:val="22"/>
        </w:rPr>
        <w:tab/>
      </w:r>
      <w:r>
        <w:tab/>
      </w:r>
      <w:r>
        <w:tab/>
      </w:r>
      <w:r>
        <w:tab/>
      </w:r>
      <w:r>
        <w:tab/>
      </w:r>
      <w:r>
        <w:tab/>
      </w:r>
    </w:p>
    <w:p w14:paraId="67411CA9" w14:textId="77777777" w:rsidR="009D46C5" w:rsidRPr="00197953" w:rsidRDefault="00C05D28" w:rsidP="009B46E4">
      <w:pPr>
        <w:tabs>
          <w:tab w:val="left" w:pos="2042"/>
        </w:tabs>
      </w:pPr>
      <w:r>
        <w:t xml:space="preserve">                </w:t>
      </w:r>
      <w:r>
        <w:rPr>
          <w:rFonts w:ascii="Arial" w:hAnsi="Arial"/>
          <w:color w:val="007DC3"/>
        </w:rPr>
        <w:t xml:space="preserve"> </w:t>
      </w:r>
      <w:r>
        <w:rPr>
          <w:rFonts w:ascii="Arial" w:hAnsi="Arial"/>
          <w:color w:val="007DC3"/>
        </w:rPr>
        <w:tab/>
      </w:r>
    </w:p>
    <w:p w14:paraId="47F55EDA" w14:textId="77777777" w:rsidR="00656A70" w:rsidRPr="00E82A74" w:rsidRDefault="00656A70" w:rsidP="00E53226"/>
    <w:p w14:paraId="2B44BAC5" w14:textId="77777777" w:rsidR="00BF65B5" w:rsidRDefault="00BF65B5" w:rsidP="00BF65B5">
      <w:pPr>
        <w:autoSpaceDE w:val="0"/>
        <w:autoSpaceDN w:val="0"/>
        <w:adjustRightInd w:val="0"/>
        <w:ind w:left="2250" w:hanging="90"/>
        <w:rPr>
          <w:rFonts w:ascii="Arial" w:hAnsi="Arial" w:cs="Arial"/>
          <w:color w:val="007DC3"/>
          <w:sz w:val="46"/>
          <w:szCs w:val="46"/>
          <w:lang w:val="en-US" w:eastAsia="en-US"/>
        </w:rPr>
      </w:pPr>
    </w:p>
    <w:p w14:paraId="06BDEEC9" w14:textId="77777777" w:rsidR="00BF65B5" w:rsidRDefault="00BF65B5" w:rsidP="00BF65B5">
      <w:pPr>
        <w:autoSpaceDE w:val="0"/>
        <w:autoSpaceDN w:val="0"/>
        <w:adjustRightInd w:val="0"/>
        <w:ind w:left="2250" w:hanging="90"/>
        <w:rPr>
          <w:rFonts w:ascii="Arial" w:hAnsi="Arial" w:cs="Arial"/>
          <w:color w:val="007DC3"/>
          <w:sz w:val="46"/>
          <w:szCs w:val="46"/>
          <w:lang w:val="en-US" w:eastAsia="en-US"/>
        </w:rPr>
      </w:pPr>
    </w:p>
    <w:p w14:paraId="3F7E58FB" w14:textId="77777777" w:rsidR="00BF65B5" w:rsidRDefault="00BF65B5" w:rsidP="00BF65B5">
      <w:pPr>
        <w:autoSpaceDE w:val="0"/>
        <w:autoSpaceDN w:val="0"/>
        <w:adjustRightInd w:val="0"/>
        <w:ind w:left="2250" w:hanging="90"/>
        <w:rPr>
          <w:rFonts w:ascii="Arial" w:hAnsi="Arial" w:cs="Arial"/>
          <w:color w:val="007DC3"/>
          <w:sz w:val="46"/>
          <w:szCs w:val="46"/>
          <w:lang w:val="en-US" w:eastAsia="en-US"/>
        </w:rPr>
      </w:pPr>
    </w:p>
    <w:p w14:paraId="6D28655B" w14:textId="77777777" w:rsidR="00BF65B5" w:rsidRDefault="00BF65B5" w:rsidP="00BF65B5">
      <w:pPr>
        <w:autoSpaceDE w:val="0"/>
        <w:autoSpaceDN w:val="0"/>
        <w:adjustRightInd w:val="0"/>
        <w:ind w:left="2250" w:hanging="90"/>
        <w:rPr>
          <w:rFonts w:ascii="Arial" w:hAnsi="Arial" w:cs="Arial"/>
          <w:color w:val="007DC3"/>
          <w:sz w:val="46"/>
          <w:szCs w:val="46"/>
          <w:lang w:val="en-US" w:eastAsia="en-US"/>
        </w:rPr>
      </w:pPr>
    </w:p>
    <w:p w14:paraId="41C53B89" w14:textId="77777777" w:rsidR="00F8126E" w:rsidRPr="00216C30" w:rsidRDefault="00D47787" w:rsidP="00F8126E">
      <w:pPr>
        <w:tabs>
          <w:tab w:val="left" w:pos="2160"/>
        </w:tabs>
        <w:autoSpaceDE w:val="0"/>
        <w:autoSpaceDN w:val="0"/>
        <w:adjustRightInd w:val="0"/>
        <w:spacing w:after="240"/>
        <w:ind w:left="2074" w:hanging="634"/>
        <w:rPr>
          <w:rFonts w:ascii="Arial" w:hAnsi="Arial"/>
          <w:color w:val="380070"/>
          <w:sz w:val="48"/>
          <w14:textFill>
            <w14:solidFill>
              <w14:srgbClr w14:val="380070">
                <w14:alpha w14:val="39000"/>
              </w14:srgbClr>
            </w14:solidFill>
          </w14:textFill>
        </w:rPr>
      </w:pPr>
      <w:r>
        <w:rPr>
          <w:rFonts w:ascii="Arial" w:hAnsi="Arial"/>
          <w:color w:val="380070"/>
          <w:sz w:val="48"/>
          <w:szCs w:val="46"/>
          <w14:textFill>
            <w14:solidFill>
              <w14:srgbClr w14:val="380070">
                <w14:alpha w14:val="39000"/>
              </w14:srgbClr>
            </w14:solidFill>
          </w14:textFill>
        </w:rPr>
        <w:t>Banque Duo du</w:t>
      </w:r>
      <w:r>
        <w:rPr>
          <w:rFonts w:ascii="Arial" w:hAnsi="Arial"/>
          <w:color w:val="380070"/>
          <w:sz w:val="48"/>
          <w14:textFill>
            <w14:solidFill>
              <w14:srgbClr w14:val="380070">
                <w14:alpha w14:val="39000"/>
              </w14:srgbClr>
            </w14:solidFill>
          </w14:textFill>
        </w:rPr>
        <w:t xml:space="preserve"> Canada</w:t>
      </w:r>
    </w:p>
    <w:p w14:paraId="4689CAC4" w14:textId="77777777" w:rsidR="00F8126E" w:rsidRPr="00216C30" w:rsidRDefault="00F8126E" w:rsidP="00F8126E">
      <w:pPr>
        <w:tabs>
          <w:tab w:val="left" w:pos="2160"/>
        </w:tabs>
        <w:autoSpaceDE w:val="0"/>
        <w:autoSpaceDN w:val="0"/>
        <w:adjustRightInd w:val="0"/>
        <w:spacing w:after="240"/>
        <w:ind w:left="2074" w:hanging="634"/>
        <w:rPr>
          <w:rFonts w:ascii="Arial" w:hAnsi="Arial"/>
          <w:b/>
          <w:color w:val="380070"/>
          <w:sz w:val="44"/>
          <w14:textFill>
            <w14:solidFill>
              <w14:srgbClr w14:val="380070">
                <w14:alpha w14:val="39000"/>
              </w14:srgbClr>
            </w14:solidFill>
          </w14:textFill>
        </w:rPr>
      </w:pPr>
      <w:r>
        <w:rPr>
          <w:rFonts w:ascii="Arial" w:hAnsi="Arial"/>
          <w:b/>
          <w:color w:val="380070"/>
          <w:sz w:val="44"/>
          <w14:textFill>
            <w14:solidFill>
              <w14:srgbClr w14:val="380070">
                <w14:alpha w14:val="39000"/>
              </w14:srgbClr>
            </w14:solidFill>
          </w14:textFill>
        </w:rPr>
        <w:t>Divulgations du 3</w:t>
      </w:r>
      <w:r>
        <w:rPr>
          <w:rFonts w:ascii="Arial" w:hAnsi="Arial"/>
          <w:b/>
          <w:color w:val="380070"/>
          <w:sz w:val="44"/>
          <w:vertAlign w:val="superscript"/>
          <w14:textFill>
            <w14:solidFill>
              <w14:srgbClr w14:val="380070">
                <w14:alpha w14:val="39000"/>
              </w14:srgbClr>
            </w14:solidFill>
          </w14:textFill>
        </w:rPr>
        <w:t>e</w:t>
      </w:r>
      <w:r>
        <w:rPr>
          <w:rFonts w:ascii="Arial" w:hAnsi="Arial"/>
          <w:b/>
          <w:color w:val="380070"/>
          <w:sz w:val="44"/>
          <w14:textFill>
            <w14:solidFill>
              <w14:srgbClr w14:val="380070">
                <w14:alpha w14:val="39000"/>
              </w14:srgbClr>
            </w14:solidFill>
          </w14:textFill>
        </w:rPr>
        <w:t xml:space="preserve"> pilier de Bâle III</w:t>
      </w:r>
    </w:p>
    <w:p w14:paraId="2F348C6F" w14:textId="31BF3A04" w:rsidR="00F8126E" w:rsidRPr="00216C30" w:rsidRDefault="00F8126E" w:rsidP="00F8126E">
      <w:pPr>
        <w:tabs>
          <w:tab w:val="left" w:pos="2160"/>
        </w:tabs>
        <w:autoSpaceDE w:val="0"/>
        <w:autoSpaceDN w:val="0"/>
        <w:adjustRightInd w:val="0"/>
        <w:spacing w:after="240"/>
        <w:ind w:left="2074" w:hanging="634"/>
        <w:rPr>
          <w:rFonts w:ascii="Arial" w:hAnsi="Arial"/>
          <w:color w:val="380070"/>
          <w:sz w:val="44"/>
          <w14:textFill>
            <w14:solidFill>
              <w14:srgbClr w14:val="380070">
                <w14:alpha w14:val="39000"/>
              </w14:srgbClr>
            </w14:solidFill>
          </w14:textFill>
        </w:rPr>
      </w:pPr>
      <w:r>
        <w:rPr>
          <w:rFonts w:ascii="Arial" w:hAnsi="Arial"/>
          <w:color w:val="380070"/>
          <w:sz w:val="44"/>
          <w14:textFill>
            <w14:solidFill>
              <w14:srgbClr w14:val="380070">
                <w14:alpha w14:val="39000"/>
              </w14:srgbClr>
            </w14:solidFill>
          </w14:textFill>
        </w:rPr>
        <w:t>En date du 31 décembre 2019</w:t>
      </w:r>
    </w:p>
    <w:p w14:paraId="0DFC3FE4" w14:textId="77777777" w:rsidR="00BF65B5" w:rsidRDefault="001F418C" w:rsidP="00BF65B5">
      <w:pPr>
        <w:rPr>
          <w:b/>
          <w:sz w:val="32"/>
        </w:rPr>
      </w:pPr>
      <w:r>
        <w:br w:type="page"/>
      </w:r>
    </w:p>
    <w:p w14:paraId="212BBED5" w14:textId="77777777" w:rsidR="00927FF7" w:rsidRPr="00216C30" w:rsidRDefault="002F3395" w:rsidP="00216C30">
      <w:pPr>
        <w:tabs>
          <w:tab w:val="left" w:pos="2160"/>
        </w:tabs>
        <w:autoSpaceDE w:val="0"/>
        <w:autoSpaceDN w:val="0"/>
        <w:adjustRightInd w:val="0"/>
        <w:spacing w:after="240"/>
        <w:jc w:val="left"/>
        <w:rPr>
          <w:color w:val="380070"/>
          <w14:textFill>
            <w14:solidFill>
              <w14:srgbClr w14:val="380070">
                <w14:alpha w14:val="39000"/>
              </w14:srgbClr>
            </w14:solidFill>
          </w14:textFill>
        </w:rPr>
      </w:pPr>
      <w:r>
        <w:rPr>
          <w:rFonts w:ascii="Arial" w:hAnsi="Arial"/>
          <w:b/>
          <w:color w:val="380070"/>
          <w:sz w:val="36"/>
          <w14:textFill>
            <w14:solidFill>
              <w14:srgbClr w14:val="380070">
                <w14:alpha w14:val="39000"/>
              </w14:srgbClr>
            </w14:solidFill>
          </w14:textFill>
        </w:rPr>
        <w:lastRenderedPageBreak/>
        <w:t>TABLE DES MATIÈRES</w:t>
      </w:r>
    </w:p>
    <w:p w14:paraId="2644C347" w14:textId="77777777" w:rsidR="00927FF7" w:rsidRPr="00780C43" w:rsidRDefault="00927FF7" w:rsidP="00E53226">
      <w:pPr>
        <w:rPr>
          <w:lang w:eastAsia="en-US"/>
        </w:rPr>
      </w:pPr>
    </w:p>
    <w:p w14:paraId="370442BA" w14:textId="77777777" w:rsidR="00E53226" w:rsidRPr="00780C43" w:rsidRDefault="00E53226" w:rsidP="00E53226">
      <w:pPr>
        <w:rPr>
          <w:lang w:eastAsia="en-US"/>
        </w:rPr>
      </w:pPr>
    </w:p>
    <w:p w14:paraId="39809B6F" w14:textId="77777777" w:rsidR="006B6F88" w:rsidRPr="00780C43" w:rsidRDefault="006B6F88" w:rsidP="00E53226">
      <w:pPr>
        <w:rPr>
          <w:lang w:eastAsia="en-US"/>
        </w:rPr>
      </w:pPr>
    </w:p>
    <w:p w14:paraId="15D7BE34" w14:textId="77777777" w:rsidR="00E53226" w:rsidRPr="00780C43" w:rsidRDefault="00E53226" w:rsidP="00E53226">
      <w:pPr>
        <w:rPr>
          <w:lang w:eastAsia="en-US"/>
        </w:rPr>
      </w:pPr>
    </w:p>
    <w:p w14:paraId="7F5A0657" w14:textId="77777777" w:rsidR="0066286E" w:rsidRDefault="002F3395">
      <w:pPr>
        <w:pStyle w:val="TOC1"/>
        <w:rPr>
          <w:rFonts w:asciiTheme="minorHAnsi" w:eastAsiaTheme="minorEastAsia" w:hAnsiTheme="minorHAnsi" w:cstheme="minorBidi"/>
          <w:noProof/>
          <w:sz w:val="22"/>
          <w:szCs w:val="22"/>
          <w:lang w:eastAsia="fr-CA"/>
        </w:rPr>
      </w:pPr>
      <w:r>
        <w:fldChar w:fldCharType="begin"/>
      </w:r>
      <w:r>
        <w:instrText xml:space="preserve"> TOC \o "1-3" \h \z \u </w:instrText>
      </w:r>
      <w:r>
        <w:fldChar w:fldCharType="separate"/>
      </w:r>
      <w:hyperlink w:anchor="_Toc39172694" w:history="1">
        <w:r w:rsidR="0066286E" w:rsidRPr="002C29DC">
          <w:rPr>
            <w:rStyle w:val="Hyperlink"/>
            <w:rFonts w:ascii="Arial" w:hAnsi="Arial"/>
            <w:noProof/>
          </w:rPr>
          <w:t>APERÇU DU DOCUMENT</w:t>
        </w:r>
        <w:r w:rsidR="0066286E">
          <w:rPr>
            <w:noProof/>
            <w:webHidden/>
          </w:rPr>
          <w:tab/>
        </w:r>
        <w:r w:rsidR="0066286E">
          <w:rPr>
            <w:noProof/>
            <w:webHidden/>
          </w:rPr>
          <w:fldChar w:fldCharType="begin"/>
        </w:r>
        <w:r w:rsidR="0066286E">
          <w:rPr>
            <w:noProof/>
            <w:webHidden/>
          </w:rPr>
          <w:instrText xml:space="preserve"> PAGEREF _Toc39172694 \h </w:instrText>
        </w:r>
        <w:r w:rsidR="0066286E">
          <w:rPr>
            <w:noProof/>
            <w:webHidden/>
          </w:rPr>
        </w:r>
        <w:r w:rsidR="0066286E">
          <w:rPr>
            <w:noProof/>
            <w:webHidden/>
          </w:rPr>
          <w:fldChar w:fldCharType="separate"/>
        </w:r>
        <w:r w:rsidR="0066286E">
          <w:rPr>
            <w:noProof/>
            <w:webHidden/>
          </w:rPr>
          <w:t>3</w:t>
        </w:r>
        <w:r w:rsidR="0066286E">
          <w:rPr>
            <w:noProof/>
            <w:webHidden/>
          </w:rPr>
          <w:fldChar w:fldCharType="end"/>
        </w:r>
      </w:hyperlink>
    </w:p>
    <w:p w14:paraId="3BB231E4" w14:textId="77777777" w:rsidR="0066286E" w:rsidRDefault="00AD5955">
      <w:pPr>
        <w:pStyle w:val="TOC1"/>
        <w:rPr>
          <w:rFonts w:asciiTheme="minorHAnsi" w:eastAsiaTheme="minorEastAsia" w:hAnsiTheme="minorHAnsi" w:cstheme="minorBidi"/>
          <w:noProof/>
          <w:sz w:val="22"/>
          <w:szCs w:val="22"/>
          <w:lang w:eastAsia="fr-CA"/>
        </w:rPr>
      </w:pPr>
      <w:hyperlink w:anchor="_Toc39172695" w:history="1">
        <w:r w:rsidR="0066286E" w:rsidRPr="002C29DC">
          <w:rPr>
            <w:rStyle w:val="Hyperlink"/>
            <w:rFonts w:ascii="Arial" w:hAnsi="Arial"/>
            <w:noProof/>
          </w:rPr>
          <w:t>ENTITÉ DE LA DÉCLARATION</w:t>
        </w:r>
        <w:r w:rsidR="0066286E">
          <w:rPr>
            <w:noProof/>
            <w:webHidden/>
          </w:rPr>
          <w:tab/>
        </w:r>
        <w:r w:rsidR="0066286E">
          <w:rPr>
            <w:noProof/>
            <w:webHidden/>
          </w:rPr>
          <w:fldChar w:fldCharType="begin"/>
        </w:r>
        <w:r w:rsidR="0066286E">
          <w:rPr>
            <w:noProof/>
            <w:webHidden/>
          </w:rPr>
          <w:instrText xml:space="preserve"> PAGEREF _Toc39172695 \h </w:instrText>
        </w:r>
        <w:r w:rsidR="0066286E">
          <w:rPr>
            <w:noProof/>
            <w:webHidden/>
          </w:rPr>
        </w:r>
        <w:r w:rsidR="0066286E">
          <w:rPr>
            <w:noProof/>
            <w:webHidden/>
          </w:rPr>
          <w:fldChar w:fldCharType="separate"/>
        </w:r>
        <w:r w:rsidR="0066286E">
          <w:rPr>
            <w:noProof/>
            <w:webHidden/>
          </w:rPr>
          <w:t>3</w:t>
        </w:r>
        <w:r w:rsidR="0066286E">
          <w:rPr>
            <w:noProof/>
            <w:webHidden/>
          </w:rPr>
          <w:fldChar w:fldCharType="end"/>
        </w:r>
      </w:hyperlink>
    </w:p>
    <w:p w14:paraId="3E30BC17" w14:textId="77777777" w:rsidR="0066286E" w:rsidRDefault="00AD5955">
      <w:pPr>
        <w:pStyle w:val="TOC1"/>
        <w:rPr>
          <w:rFonts w:asciiTheme="minorHAnsi" w:eastAsiaTheme="minorEastAsia" w:hAnsiTheme="minorHAnsi" w:cstheme="minorBidi"/>
          <w:noProof/>
          <w:sz w:val="22"/>
          <w:szCs w:val="22"/>
          <w:lang w:eastAsia="fr-CA"/>
        </w:rPr>
      </w:pPr>
      <w:hyperlink w:anchor="_Toc39172696" w:history="1">
        <w:r w:rsidR="0066286E" w:rsidRPr="002C29DC">
          <w:rPr>
            <w:rStyle w:val="Hyperlink"/>
            <w:rFonts w:ascii="Arial" w:hAnsi="Arial"/>
            <w:noProof/>
          </w:rPr>
          <w:t>GESTION DES RISQUES FINANCIERS</w:t>
        </w:r>
        <w:r w:rsidR="0066286E">
          <w:rPr>
            <w:noProof/>
            <w:webHidden/>
          </w:rPr>
          <w:tab/>
        </w:r>
        <w:r w:rsidR="0066286E">
          <w:rPr>
            <w:noProof/>
            <w:webHidden/>
          </w:rPr>
          <w:fldChar w:fldCharType="begin"/>
        </w:r>
        <w:r w:rsidR="0066286E">
          <w:rPr>
            <w:noProof/>
            <w:webHidden/>
          </w:rPr>
          <w:instrText xml:space="preserve"> PAGEREF _Toc39172696 \h </w:instrText>
        </w:r>
        <w:r w:rsidR="0066286E">
          <w:rPr>
            <w:noProof/>
            <w:webHidden/>
          </w:rPr>
        </w:r>
        <w:r w:rsidR="0066286E">
          <w:rPr>
            <w:noProof/>
            <w:webHidden/>
          </w:rPr>
          <w:fldChar w:fldCharType="separate"/>
        </w:r>
        <w:r w:rsidR="0066286E">
          <w:rPr>
            <w:noProof/>
            <w:webHidden/>
          </w:rPr>
          <w:t>3</w:t>
        </w:r>
        <w:r w:rsidR="0066286E">
          <w:rPr>
            <w:noProof/>
            <w:webHidden/>
          </w:rPr>
          <w:fldChar w:fldCharType="end"/>
        </w:r>
      </w:hyperlink>
    </w:p>
    <w:p w14:paraId="6EAC8409" w14:textId="77777777" w:rsidR="0066286E" w:rsidRDefault="00AD5955">
      <w:pPr>
        <w:pStyle w:val="TOC2"/>
        <w:rPr>
          <w:rFonts w:asciiTheme="minorHAnsi" w:eastAsiaTheme="minorEastAsia" w:hAnsiTheme="minorHAnsi" w:cstheme="minorBidi"/>
          <w:noProof/>
          <w:sz w:val="22"/>
          <w:szCs w:val="22"/>
          <w:lang w:eastAsia="fr-CA"/>
        </w:rPr>
      </w:pPr>
      <w:hyperlink w:anchor="_Toc39172697" w:history="1">
        <w:r w:rsidR="0066286E" w:rsidRPr="002C29DC">
          <w:rPr>
            <w:rStyle w:val="Hyperlink"/>
            <w:rFonts w:ascii="Arial" w:hAnsi="Arial"/>
            <w:noProof/>
          </w:rPr>
          <w:t>Cadre de travail pour la gestion des risques</w:t>
        </w:r>
        <w:r w:rsidR="0066286E">
          <w:rPr>
            <w:noProof/>
            <w:webHidden/>
          </w:rPr>
          <w:tab/>
        </w:r>
        <w:r w:rsidR="0066286E">
          <w:rPr>
            <w:noProof/>
            <w:webHidden/>
          </w:rPr>
          <w:fldChar w:fldCharType="begin"/>
        </w:r>
        <w:r w:rsidR="0066286E">
          <w:rPr>
            <w:noProof/>
            <w:webHidden/>
          </w:rPr>
          <w:instrText xml:space="preserve"> PAGEREF _Toc39172697 \h </w:instrText>
        </w:r>
        <w:r w:rsidR="0066286E">
          <w:rPr>
            <w:noProof/>
            <w:webHidden/>
          </w:rPr>
        </w:r>
        <w:r w:rsidR="0066286E">
          <w:rPr>
            <w:noProof/>
            <w:webHidden/>
          </w:rPr>
          <w:fldChar w:fldCharType="separate"/>
        </w:r>
        <w:r w:rsidR="0066286E">
          <w:rPr>
            <w:noProof/>
            <w:webHidden/>
          </w:rPr>
          <w:t>3</w:t>
        </w:r>
        <w:r w:rsidR="0066286E">
          <w:rPr>
            <w:noProof/>
            <w:webHidden/>
          </w:rPr>
          <w:fldChar w:fldCharType="end"/>
        </w:r>
      </w:hyperlink>
    </w:p>
    <w:p w14:paraId="6B524A9F" w14:textId="77777777" w:rsidR="0066286E" w:rsidRDefault="00AD5955">
      <w:pPr>
        <w:pStyle w:val="TOC2"/>
        <w:rPr>
          <w:rFonts w:asciiTheme="minorHAnsi" w:eastAsiaTheme="minorEastAsia" w:hAnsiTheme="minorHAnsi" w:cstheme="minorBidi"/>
          <w:noProof/>
          <w:sz w:val="22"/>
          <w:szCs w:val="22"/>
          <w:lang w:eastAsia="fr-CA"/>
        </w:rPr>
      </w:pPr>
      <w:hyperlink w:anchor="_Toc39172698" w:history="1">
        <w:r w:rsidR="0066286E" w:rsidRPr="002C29DC">
          <w:rPr>
            <w:rStyle w:val="Hyperlink"/>
            <w:rFonts w:ascii="Arial" w:hAnsi="Arial"/>
            <w:noProof/>
          </w:rPr>
          <w:t>Risque de crédit</w:t>
        </w:r>
        <w:r w:rsidR="0066286E">
          <w:rPr>
            <w:noProof/>
            <w:webHidden/>
          </w:rPr>
          <w:tab/>
        </w:r>
        <w:r w:rsidR="0066286E">
          <w:rPr>
            <w:noProof/>
            <w:webHidden/>
          </w:rPr>
          <w:fldChar w:fldCharType="begin"/>
        </w:r>
        <w:r w:rsidR="0066286E">
          <w:rPr>
            <w:noProof/>
            <w:webHidden/>
          </w:rPr>
          <w:instrText xml:space="preserve"> PAGEREF _Toc39172698 \h </w:instrText>
        </w:r>
        <w:r w:rsidR="0066286E">
          <w:rPr>
            <w:noProof/>
            <w:webHidden/>
          </w:rPr>
        </w:r>
        <w:r w:rsidR="0066286E">
          <w:rPr>
            <w:noProof/>
            <w:webHidden/>
          </w:rPr>
          <w:fldChar w:fldCharType="separate"/>
        </w:r>
        <w:r w:rsidR="0066286E">
          <w:rPr>
            <w:noProof/>
            <w:webHidden/>
          </w:rPr>
          <w:t>4</w:t>
        </w:r>
        <w:r w:rsidR="0066286E">
          <w:rPr>
            <w:noProof/>
            <w:webHidden/>
          </w:rPr>
          <w:fldChar w:fldCharType="end"/>
        </w:r>
      </w:hyperlink>
    </w:p>
    <w:p w14:paraId="4F05B19E" w14:textId="77777777" w:rsidR="0066286E" w:rsidRDefault="00AD5955">
      <w:pPr>
        <w:pStyle w:val="TOC2"/>
        <w:rPr>
          <w:rFonts w:asciiTheme="minorHAnsi" w:eastAsiaTheme="minorEastAsia" w:hAnsiTheme="minorHAnsi" w:cstheme="minorBidi"/>
          <w:noProof/>
          <w:sz w:val="22"/>
          <w:szCs w:val="22"/>
          <w:lang w:eastAsia="fr-CA"/>
        </w:rPr>
      </w:pPr>
      <w:hyperlink w:anchor="_Toc39172699" w:history="1">
        <w:r w:rsidR="0066286E" w:rsidRPr="002C29DC">
          <w:rPr>
            <w:rStyle w:val="Hyperlink"/>
            <w:rFonts w:ascii="Arial" w:hAnsi="Arial"/>
            <w:noProof/>
          </w:rPr>
          <w:t>Risque de marché</w:t>
        </w:r>
        <w:r w:rsidR="0066286E">
          <w:rPr>
            <w:noProof/>
            <w:webHidden/>
          </w:rPr>
          <w:tab/>
        </w:r>
        <w:r w:rsidR="0066286E">
          <w:rPr>
            <w:noProof/>
            <w:webHidden/>
          </w:rPr>
          <w:fldChar w:fldCharType="begin"/>
        </w:r>
        <w:r w:rsidR="0066286E">
          <w:rPr>
            <w:noProof/>
            <w:webHidden/>
          </w:rPr>
          <w:instrText xml:space="preserve"> PAGEREF _Toc39172699 \h </w:instrText>
        </w:r>
        <w:r w:rsidR="0066286E">
          <w:rPr>
            <w:noProof/>
            <w:webHidden/>
          </w:rPr>
        </w:r>
        <w:r w:rsidR="0066286E">
          <w:rPr>
            <w:noProof/>
            <w:webHidden/>
          </w:rPr>
          <w:fldChar w:fldCharType="separate"/>
        </w:r>
        <w:r w:rsidR="0066286E">
          <w:rPr>
            <w:noProof/>
            <w:webHidden/>
          </w:rPr>
          <w:t>4</w:t>
        </w:r>
        <w:r w:rsidR="0066286E">
          <w:rPr>
            <w:noProof/>
            <w:webHidden/>
          </w:rPr>
          <w:fldChar w:fldCharType="end"/>
        </w:r>
      </w:hyperlink>
    </w:p>
    <w:p w14:paraId="287BDDFB" w14:textId="77777777" w:rsidR="0066286E" w:rsidRDefault="00AD5955">
      <w:pPr>
        <w:pStyle w:val="TOC2"/>
        <w:rPr>
          <w:rFonts w:asciiTheme="minorHAnsi" w:eastAsiaTheme="minorEastAsia" w:hAnsiTheme="minorHAnsi" w:cstheme="minorBidi"/>
          <w:noProof/>
          <w:sz w:val="22"/>
          <w:szCs w:val="22"/>
          <w:lang w:eastAsia="fr-CA"/>
        </w:rPr>
      </w:pPr>
      <w:hyperlink w:anchor="_Toc39172700" w:history="1">
        <w:r w:rsidR="0066286E" w:rsidRPr="002C29DC">
          <w:rPr>
            <w:rStyle w:val="Hyperlink"/>
            <w:rFonts w:ascii="Arial" w:hAnsi="Arial"/>
            <w:noProof/>
          </w:rPr>
          <w:t>Risque lié aux actions</w:t>
        </w:r>
        <w:r w:rsidR="0066286E">
          <w:rPr>
            <w:noProof/>
            <w:webHidden/>
          </w:rPr>
          <w:tab/>
        </w:r>
        <w:r w:rsidR="0066286E">
          <w:rPr>
            <w:noProof/>
            <w:webHidden/>
          </w:rPr>
          <w:fldChar w:fldCharType="begin"/>
        </w:r>
        <w:r w:rsidR="0066286E">
          <w:rPr>
            <w:noProof/>
            <w:webHidden/>
          </w:rPr>
          <w:instrText xml:space="preserve"> PAGEREF _Toc39172700 \h </w:instrText>
        </w:r>
        <w:r w:rsidR="0066286E">
          <w:rPr>
            <w:noProof/>
            <w:webHidden/>
          </w:rPr>
        </w:r>
        <w:r w:rsidR="0066286E">
          <w:rPr>
            <w:noProof/>
            <w:webHidden/>
          </w:rPr>
          <w:fldChar w:fldCharType="separate"/>
        </w:r>
        <w:r w:rsidR="0066286E">
          <w:rPr>
            <w:noProof/>
            <w:webHidden/>
          </w:rPr>
          <w:t>4</w:t>
        </w:r>
        <w:r w:rsidR="0066286E">
          <w:rPr>
            <w:noProof/>
            <w:webHidden/>
          </w:rPr>
          <w:fldChar w:fldCharType="end"/>
        </w:r>
      </w:hyperlink>
    </w:p>
    <w:p w14:paraId="32FFA905" w14:textId="77777777" w:rsidR="0066286E" w:rsidRDefault="00AD5955">
      <w:pPr>
        <w:pStyle w:val="TOC2"/>
        <w:rPr>
          <w:rFonts w:asciiTheme="minorHAnsi" w:eastAsiaTheme="minorEastAsia" w:hAnsiTheme="minorHAnsi" w:cstheme="minorBidi"/>
          <w:noProof/>
          <w:sz w:val="22"/>
          <w:szCs w:val="22"/>
          <w:lang w:eastAsia="fr-CA"/>
        </w:rPr>
      </w:pPr>
      <w:hyperlink w:anchor="_Toc39172701" w:history="1">
        <w:r w:rsidR="0066286E" w:rsidRPr="002C29DC">
          <w:rPr>
            <w:rStyle w:val="Hyperlink"/>
            <w:rFonts w:ascii="Arial" w:hAnsi="Arial"/>
            <w:noProof/>
          </w:rPr>
          <w:t>Risque de taux d’intérêt</w:t>
        </w:r>
        <w:r w:rsidR="0066286E">
          <w:rPr>
            <w:noProof/>
            <w:webHidden/>
          </w:rPr>
          <w:tab/>
        </w:r>
        <w:r w:rsidR="0066286E">
          <w:rPr>
            <w:noProof/>
            <w:webHidden/>
          </w:rPr>
          <w:fldChar w:fldCharType="begin"/>
        </w:r>
        <w:r w:rsidR="0066286E">
          <w:rPr>
            <w:noProof/>
            <w:webHidden/>
          </w:rPr>
          <w:instrText xml:space="preserve"> PAGEREF _Toc39172701 \h </w:instrText>
        </w:r>
        <w:r w:rsidR="0066286E">
          <w:rPr>
            <w:noProof/>
            <w:webHidden/>
          </w:rPr>
        </w:r>
        <w:r w:rsidR="0066286E">
          <w:rPr>
            <w:noProof/>
            <w:webHidden/>
          </w:rPr>
          <w:fldChar w:fldCharType="separate"/>
        </w:r>
        <w:r w:rsidR="0066286E">
          <w:rPr>
            <w:noProof/>
            <w:webHidden/>
          </w:rPr>
          <w:t>5</w:t>
        </w:r>
        <w:r w:rsidR="0066286E">
          <w:rPr>
            <w:noProof/>
            <w:webHidden/>
          </w:rPr>
          <w:fldChar w:fldCharType="end"/>
        </w:r>
      </w:hyperlink>
    </w:p>
    <w:p w14:paraId="1503FF8F" w14:textId="77777777" w:rsidR="0066286E" w:rsidRDefault="00AD5955">
      <w:pPr>
        <w:pStyle w:val="TOC2"/>
        <w:rPr>
          <w:rFonts w:asciiTheme="minorHAnsi" w:eastAsiaTheme="minorEastAsia" w:hAnsiTheme="minorHAnsi" w:cstheme="minorBidi"/>
          <w:noProof/>
          <w:sz w:val="22"/>
          <w:szCs w:val="22"/>
          <w:lang w:eastAsia="fr-CA"/>
        </w:rPr>
      </w:pPr>
      <w:hyperlink w:anchor="_Toc39172702" w:history="1">
        <w:r w:rsidR="0066286E" w:rsidRPr="002C29DC">
          <w:rPr>
            <w:rStyle w:val="Hyperlink"/>
            <w:rFonts w:ascii="Arial" w:hAnsi="Arial"/>
            <w:noProof/>
          </w:rPr>
          <w:t>Risque de liquidité</w:t>
        </w:r>
        <w:r w:rsidR="0066286E">
          <w:rPr>
            <w:noProof/>
            <w:webHidden/>
          </w:rPr>
          <w:tab/>
        </w:r>
        <w:r w:rsidR="0066286E">
          <w:rPr>
            <w:noProof/>
            <w:webHidden/>
          </w:rPr>
          <w:fldChar w:fldCharType="begin"/>
        </w:r>
        <w:r w:rsidR="0066286E">
          <w:rPr>
            <w:noProof/>
            <w:webHidden/>
          </w:rPr>
          <w:instrText xml:space="preserve"> PAGEREF _Toc39172702 \h </w:instrText>
        </w:r>
        <w:r w:rsidR="0066286E">
          <w:rPr>
            <w:noProof/>
            <w:webHidden/>
          </w:rPr>
        </w:r>
        <w:r w:rsidR="0066286E">
          <w:rPr>
            <w:noProof/>
            <w:webHidden/>
          </w:rPr>
          <w:fldChar w:fldCharType="separate"/>
        </w:r>
        <w:r w:rsidR="0066286E">
          <w:rPr>
            <w:noProof/>
            <w:webHidden/>
          </w:rPr>
          <w:t>5</w:t>
        </w:r>
        <w:r w:rsidR="0066286E">
          <w:rPr>
            <w:noProof/>
            <w:webHidden/>
          </w:rPr>
          <w:fldChar w:fldCharType="end"/>
        </w:r>
      </w:hyperlink>
    </w:p>
    <w:p w14:paraId="556FC326" w14:textId="77777777" w:rsidR="0066286E" w:rsidRDefault="00AD5955">
      <w:pPr>
        <w:pStyle w:val="TOC2"/>
        <w:rPr>
          <w:rFonts w:asciiTheme="minorHAnsi" w:eastAsiaTheme="minorEastAsia" w:hAnsiTheme="minorHAnsi" w:cstheme="minorBidi"/>
          <w:noProof/>
          <w:sz w:val="22"/>
          <w:szCs w:val="22"/>
          <w:lang w:eastAsia="fr-CA"/>
        </w:rPr>
      </w:pPr>
      <w:hyperlink w:anchor="_Toc39172703" w:history="1">
        <w:r w:rsidR="0066286E" w:rsidRPr="002C29DC">
          <w:rPr>
            <w:rStyle w:val="Hyperlink"/>
            <w:rFonts w:ascii="Arial" w:hAnsi="Arial"/>
            <w:noProof/>
          </w:rPr>
          <w:t>Risques opérationnel</w:t>
        </w:r>
        <w:r w:rsidR="0066286E">
          <w:rPr>
            <w:noProof/>
            <w:webHidden/>
          </w:rPr>
          <w:tab/>
        </w:r>
        <w:r w:rsidR="0066286E">
          <w:rPr>
            <w:noProof/>
            <w:webHidden/>
          </w:rPr>
          <w:fldChar w:fldCharType="begin"/>
        </w:r>
        <w:r w:rsidR="0066286E">
          <w:rPr>
            <w:noProof/>
            <w:webHidden/>
          </w:rPr>
          <w:instrText xml:space="preserve"> PAGEREF _Toc39172703 \h </w:instrText>
        </w:r>
        <w:r w:rsidR="0066286E">
          <w:rPr>
            <w:noProof/>
            <w:webHidden/>
          </w:rPr>
        </w:r>
        <w:r w:rsidR="0066286E">
          <w:rPr>
            <w:noProof/>
            <w:webHidden/>
          </w:rPr>
          <w:fldChar w:fldCharType="separate"/>
        </w:r>
        <w:r w:rsidR="0066286E">
          <w:rPr>
            <w:noProof/>
            <w:webHidden/>
          </w:rPr>
          <w:t>5</w:t>
        </w:r>
        <w:r w:rsidR="0066286E">
          <w:rPr>
            <w:noProof/>
            <w:webHidden/>
          </w:rPr>
          <w:fldChar w:fldCharType="end"/>
        </w:r>
      </w:hyperlink>
    </w:p>
    <w:p w14:paraId="3B9E7D78" w14:textId="77777777" w:rsidR="0066286E" w:rsidRDefault="00AD5955">
      <w:pPr>
        <w:pStyle w:val="TOC1"/>
        <w:rPr>
          <w:rFonts w:asciiTheme="minorHAnsi" w:eastAsiaTheme="minorEastAsia" w:hAnsiTheme="minorHAnsi" w:cstheme="minorBidi"/>
          <w:noProof/>
          <w:sz w:val="22"/>
          <w:szCs w:val="22"/>
          <w:lang w:eastAsia="fr-CA"/>
        </w:rPr>
      </w:pPr>
      <w:hyperlink w:anchor="_Toc39172704" w:history="1">
        <w:r w:rsidR="0066286E" w:rsidRPr="002C29DC">
          <w:rPr>
            <w:rStyle w:val="Hyperlink"/>
            <w:rFonts w:ascii="Arial" w:hAnsi="Arial"/>
            <w:noProof/>
          </w:rPr>
          <w:t>GESTION DES CAPITAUX</w:t>
        </w:r>
        <w:r w:rsidR="0066286E">
          <w:rPr>
            <w:noProof/>
            <w:webHidden/>
          </w:rPr>
          <w:tab/>
        </w:r>
        <w:r w:rsidR="0066286E">
          <w:rPr>
            <w:noProof/>
            <w:webHidden/>
          </w:rPr>
          <w:fldChar w:fldCharType="begin"/>
        </w:r>
        <w:r w:rsidR="0066286E">
          <w:rPr>
            <w:noProof/>
            <w:webHidden/>
          </w:rPr>
          <w:instrText xml:space="preserve"> PAGEREF _Toc39172704 \h </w:instrText>
        </w:r>
        <w:r w:rsidR="0066286E">
          <w:rPr>
            <w:noProof/>
            <w:webHidden/>
          </w:rPr>
        </w:r>
        <w:r w:rsidR="0066286E">
          <w:rPr>
            <w:noProof/>
            <w:webHidden/>
          </w:rPr>
          <w:fldChar w:fldCharType="separate"/>
        </w:r>
        <w:r w:rsidR="0066286E">
          <w:rPr>
            <w:noProof/>
            <w:webHidden/>
          </w:rPr>
          <w:t>5</w:t>
        </w:r>
        <w:r w:rsidR="0066286E">
          <w:rPr>
            <w:noProof/>
            <w:webHidden/>
          </w:rPr>
          <w:fldChar w:fldCharType="end"/>
        </w:r>
      </w:hyperlink>
    </w:p>
    <w:p w14:paraId="4A403750" w14:textId="77777777" w:rsidR="0066286E" w:rsidRDefault="00AD5955">
      <w:pPr>
        <w:pStyle w:val="TOC2"/>
        <w:rPr>
          <w:rFonts w:asciiTheme="minorHAnsi" w:eastAsiaTheme="minorEastAsia" w:hAnsiTheme="minorHAnsi" w:cstheme="minorBidi"/>
          <w:noProof/>
          <w:sz w:val="22"/>
          <w:szCs w:val="22"/>
          <w:lang w:eastAsia="fr-CA"/>
        </w:rPr>
      </w:pPr>
      <w:hyperlink w:anchor="_Toc39172705" w:history="1">
        <w:r w:rsidR="0066286E" w:rsidRPr="002C29DC">
          <w:rPr>
            <w:rStyle w:val="Hyperlink"/>
            <w:rFonts w:ascii="Arial" w:hAnsi="Arial"/>
            <w:noProof/>
          </w:rPr>
          <w:t>Situation du capital réglementaire</w:t>
        </w:r>
        <w:r w:rsidR="0066286E">
          <w:rPr>
            <w:noProof/>
            <w:webHidden/>
          </w:rPr>
          <w:tab/>
        </w:r>
        <w:r w:rsidR="0066286E">
          <w:rPr>
            <w:noProof/>
            <w:webHidden/>
          </w:rPr>
          <w:fldChar w:fldCharType="begin"/>
        </w:r>
        <w:r w:rsidR="0066286E">
          <w:rPr>
            <w:noProof/>
            <w:webHidden/>
          </w:rPr>
          <w:instrText xml:space="preserve"> PAGEREF _Toc39172705 \h </w:instrText>
        </w:r>
        <w:r w:rsidR="0066286E">
          <w:rPr>
            <w:noProof/>
            <w:webHidden/>
          </w:rPr>
        </w:r>
        <w:r w:rsidR="0066286E">
          <w:rPr>
            <w:noProof/>
            <w:webHidden/>
          </w:rPr>
          <w:fldChar w:fldCharType="separate"/>
        </w:r>
        <w:r w:rsidR="0066286E">
          <w:rPr>
            <w:noProof/>
            <w:webHidden/>
          </w:rPr>
          <w:t>6</w:t>
        </w:r>
        <w:r w:rsidR="0066286E">
          <w:rPr>
            <w:noProof/>
            <w:webHidden/>
          </w:rPr>
          <w:fldChar w:fldCharType="end"/>
        </w:r>
      </w:hyperlink>
    </w:p>
    <w:p w14:paraId="1C96E649" w14:textId="77777777" w:rsidR="0066286E" w:rsidRDefault="00AD5955">
      <w:pPr>
        <w:pStyle w:val="TOC1"/>
        <w:rPr>
          <w:rFonts w:asciiTheme="minorHAnsi" w:eastAsiaTheme="minorEastAsia" w:hAnsiTheme="minorHAnsi" w:cstheme="minorBidi"/>
          <w:noProof/>
          <w:sz w:val="22"/>
          <w:szCs w:val="22"/>
          <w:lang w:eastAsia="fr-CA"/>
        </w:rPr>
      </w:pPr>
      <w:hyperlink w:anchor="_Toc39172706" w:history="1">
        <w:r w:rsidR="0066286E" w:rsidRPr="002C29DC">
          <w:rPr>
            <w:rStyle w:val="Hyperlink"/>
            <w:rFonts w:ascii="Arial" w:hAnsi="Arial"/>
            <w:noProof/>
          </w:rPr>
          <w:t>ANNEXE A</w:t>
        </w:r>
        <w:r w:rsidR="0066286E">
          <w:rPr>
            <w:noProof/>
            <w:webHidden/>
          </w:rPr>
          <w:tab/>
        </w:r>
        <w:r w:rsidR="0066286E">
          <w:rPr>
            <w:noProof/>
            <w:webHidden/>
          </w:rPr>
          <w:fldChar w:fldCharType="begin"/>
        </w:r>
        <w:r w:rsidR="0066286E">
          <w:rPr>
            <w:noProof/>
            <w:webHidden/>
          </w:rPr>
          <w:instrText xml:space="preserve"> PAGEREF _Toc39172706 \h </w:instrText>
        </w:r>
        <w:r w:rsidR="0066286E">
          <w:rPr>
            <w:noProof/>
            <w:webHidden/>
          </w:rPr>
        </w:r>
        <w:r w:rsidR="0066286E">
          <w:rPr>
            <w:noProof/>
            <w:webHidden/>
          </w:rPr>
          <w:fldChar w:fldCharType="separate"/>
        </w:r>
        <w:r w:rsidR="0066286E">
          <w:rPr>
            <w:noProof/>
            <w:webHidden/>
          </w:rPr>
          <w:t>7</w:t>
        </w:r>
        <w:r w:rsidR="0066286E">
          <w:rPr>
            <w:noProof/>
            <w:webHidden/>
          </w:rPr>
          <w:fldChar w:fldCharType="end"/>
        </w:r>
      </w:hyperlink>
    </w:p>
    <w:p w14:paraId="640D3969" w14:textId="77777777" w:rsidR="0066286E" w:rsidRDefault="00AD5955">
      <w:pPr>
        <w:pStyle w:val="TOC2"/>
        <w:rPr>
          <w:rFonts w:asciiTheme="minorHAnsi" w:eastAsiaTheme="minorEastAsia" w:hAnsiTheme="minorHAnsi" w:cstheme="minorBidi"/>
          <w:noProof/>
          <w:sz w:val="22"/>
          <w:szCs w:val="22"/>
          <w:lang w:eastAsia="fr-CA"/>
        </w:rPr>
      </w:pPr>
      <w:hyperlink w:anchor="_Toc39172707" w:history="1">
        <w:r w:rsidR="0066286E" w:rsidRPr="002C29DC">
          <w:rPr>
            <w:rStyle w:val="Hyperlink"/>
            <w:rFonts w:ascii="Arial" w:hAnsi="Arial"/>
            <w:noProof/>
          </w:rPr>
          <w:t>COMMUNICATION D’INFORMATIONS COMMUNES BÂLE III</w:t>
        </w:r>
        <w:r w:rsidR="0066286E">
          <w:rPr>
            <w:noProof/>
            <w:webHidden/>
          </w:rPr>
          <w:tab/>
        </w:r>
        <w:r w:rsidR="0066286E">
          <w:rPr>
            <w:noProof/>
            <w:webHidden/>
          </w:rPr>
          <w:fldChar w:fldCharType="begin"/>
        </w:r>
        <w:r w:rsidR="0066286E">
          <w:rPr>
            <w:noProof/>
            <w:webHidden/>
          </w:rPr>
          <w:instrText xml:space="preserve"> PAGEREF _Toc39172707 \h </w:instrText>
        </w:r>
        <w:r w:rsidR="0066286E">
          <w:rPr>
            <w:noProof/>
            <w:webHidden/>
          </w:rPr>
        </w:r>
        <w:r w:rsidR="0066286E">
          <w:rPr>
            <w:noProof/>
            <w:webHidden/>
          </w:rPr>
          <w:fldChar w:fldCharType="separate"/>
        </w:r>
        <w:r w:rsidR="0066286E">
          <w:rPr>
            <w:noProof/>
            <w:webHidden/>
          </w:rPr>
          <w:t>7</w:t>
        </w:r>
        <w:r w:rsidR="0066286E">
          <w:rPr>
            <w:noProof/>
            <w:webHidden/>
          </w:rPr>
          <w:fldChar w:fldCharType="end"/>
        </w:r>
      </w:hyperlink>
    </w:p>
    <w:p w14:paraId="6A606881" w14:textId="77777777" w:rsidR="0066286E" w:rsidRDefault="00AD5955">
      <w:pPr>
        <w:pStyle w:val="TOC1"/>
        <w:rPr>
          <w:rFonts w:asciiTheme="minorHAnsi" w:eastAsiaTheme="minorEastAsia" w:hAnsiTheme="minorHAnsi" w:cstheme="minorBidi"/>
          <w:noProof/>
          <w:sz w:val="22"/>
          <w:szCs w:val="22"/>
          <w:lang w:eastAsia="fr-CA"/>
        </w:rPr>
      </w:pPr>
      <w:hyperlink w:anchor="_Toc39172708" w:history="1">
        <w:r w:rsidR="0066286E" w:rsidRPr="002C29DC">
          <w:rPr>
            <w:rStyle w:val="Hyperlink"/>
            <w:rFonts w:ascii="Arial" w:hAnsi="Arial"/>
            <w:noProof/>
          </w:rPr>
          <w:t>ANNEXE B : Risque de crédit</w:t>
        </w:r>
        <w:r w:rsidR="0066286E">
          <w:rPr>
            <w:noProof/>
            <w:webHidden/>
          </w:rPr>
          <w:tab/>
        </w:r>
        <w:r w:rsidR="0066286E">
          <w:rPr>
            <w:noProof/>
            <w:webHidden/>
          </w:rPr>
          <w:fldChar w:fldCharType="begin"/>
        </w:r>
        <w:r w:rsidR="0066286E">
          <w:rPr>
            <w:noProof/>
            <w:webHidden/>
          </w:rPr>
          <w:instrText xml:space="preserve"> PAGEREF _Toc39172708 \h </w:instrText>
        </w:r>
        <w:r w:rsidR="0066286E">
          <w:rPr>
            <w:noProof/>
            <w:webHidden/>
          </w:rPr>
        </w:r>
        <w:r w:rsidR="0066286E">
          <w:rPr>
            <w:noProof/>
            <w:webHidden/>
          </w:rPr>
          <w:fldChar w:fldCharType="separate"/>
        </w:r>
        <w:r w:rsidR="0066286E">
          <w:rPr>
            <w:noProof/>
            <w:webHidden/>
          </w:rPr>
          <w:t>9</w:t>
        </w:r>
        <w:r w:rsidR="0066286E">
          <w:rPr>
            <w:noProof/>
            <w:webHidden/>
          </w:rPr>
          <w:fldChar w:fldCharType="end"/>
        </w:r>
      </w:hyperlink>
    </w:p>
    <w:p w14:paraId="0F960445" w14:textId="77777777" w:rsidR="0066286E" w:rsidRDefault="00AD5955">
      <w:pPr>
        <w:pStyle w:val="TOC2"/>
        <w:rPr>
          <w:rFonts w:asciiTheme="minorHAnsi" w:eastAsiaTheme="minorEastAsia" w:hAnsiTheme="minorHAnsi" w:cstheme="minorBidi"/>
          <w:noProof/>
          <w:sz w:val="22"/>
          <w:szCs w:val="22"/>
          <w:lang w:eastAsia="fr-CA"/>
        </w:rPr>
      </w:pPr>
      <w:hyperlink w:anchor="_Toc39172709" w:history="1">
        <w:r w:rsidR="0066286E" w:rsidRPr="002C29DC">
          <w:rPr>
            <w:rStyle w:val="Hyperlink"/>
            <w:rFonts w:ascii="Arial" w:hAnsi="Arial"/>
            <w:noProof/>
          </w:rPr>
          <w:t>DÉCLARATIONS GÉNÉRALES ET QUANTITATIVES</w:t>
        </w:r>
        <w:r w:rsidR="0066286E">
          <w:rPr>
            <w:noProof/>
            <w:webHidden/>
          </w:rPr>
          <w:tab/>
        </w:r>
        <w:r w:rsidR="0066286E">
          <w:rPr>
            <w:noProof/>
            <w:webHidden/>
          </w:rPr>
          <w:fldChar w:fldCharType="begin"/>
        </w:r>
        <w:r w:rsidR="0066286E">
          <w:rPr>
            <w:noProof/>
            <w:webHidden/>
          </w:rPr>
          <w:instrText xml:space="preserve"> PAGEREF _Toc39172709 \h </w:instrText>
        </w:r>
        <w:r w:rsidR="0066286E">
          <w:rPr>
            <w:noProof/>
            <w:webHidden/>
          </w:rPr>
        </w:r>
        <w:r w:rsidR="0066286E">
          <w:rPr>
            <w:noProof/>
            <w:webHidden/>
          </w:rPr>
          <w:fldChar w:fldCharType="separate"/>
        </w:r>
        <w:r w:rsidR="0066286E">
          <w:rPr>
            <w:noProof/>
            <w:webHidden/>
          </w:rPr>
          <w:t>9</w:t>
        </w:r>
        <w:r w:rsidR="0066286E">
          <w:rPr>
            <w:noProof/>
            <w:webHidden/>
          </w:rPr>
          <w:fldChar w:fldCharType="end"/>
        </w:r>
      </w:hyperlink>
    </w:p>
    <w:p w14:paraId="092E71A8" w14:textId="77777777" w:rsidR="0066286E" w:rsidRDefault="00AD5955">
      <w:pPr>
        <w:pStyle w:val="TOC2"/>
        <w:rPr>
          <w:rFonts w:asciiTheme="minorHAnsi" w:eastAsiaTheme="minorEastAsia" w:hAnsiTheme="minorHAnsi" w:cstheme="minorBidi"/>
          <w:noProof/>
          <w:sz w:val="22"/>
          <w:szCs w:val="22"/>
          <w:lang w:eastAsia="fr-CA"/>
        </w:rPr>
      </w:pPr>
      <w:hyperlink w:anchor="_Toc39172710" w:history="1">
        <w:r w:rsidR="0066286E" w:rsidRPr="002C29DC">
          <w:rPr>
            <w:rStyle w:val="Hyperlink"/>
            <w:rFonts w:ascii="Arial" w:hAnsi="Arial"/>
            <w:noProof/>
          </w:rPr>
          <w:t>ALLOCATION POUR PERTES SUR CRÉANCE</w:t>
        </w:r>
        <w:r w:rsidR="0066286E">
          <w:rPr>
            <w:noProof/>
            <w:webHidden/>
          </w:rPr>
          <w:tab/>
        </w:r>
        <w:r w:rsidR="0066286E">
          <w:rPr>
            <w:noProof/>
            <w:webHidden/>
          </w:rPr>
          <w:fldChar w:fldCharType="begin"/>
        </w:r>
        <w:r w:rsidR="0066286E">
          <w:rPr>
            <w:noProof/>
            <w:webHidden/>
          </w:rPr>
          <w:instrText xml:space="preserve"> PAGEREF _Toc39172710 \h </w:instrText>
        </w:r>
        <w:r w:rsidR="0066286E">
          <w:rPr>
            <w:noProof/>
            <w:webHidden/>
          </w:rPr>
        </w:r>
        <w:r w:rsidR="0066286E">
          <w:rPr>
            <w:noProof/>
            <w:webHidden/>
          </w:rPr>
          <w:fldChar w:fldCharType="separate"/>
        </w:r>
        <w:r w:rsidR="0066286E">
          <w:rPr>
            <w:noProof/>
            <w:webHidden/>
          </w:rPr>
          <w:t>11</w:t>
        </w:r>
        <w:r w:rsidR="0066286E">
          <w:rPr>
            <w:noProof/>
            <w:webHidden/>
          </w:rPr>
          <w:fldChar w:fldCharType="end"/>
        </w:r>
      </w:hyperlink>
    </w:p>
    <w:p w14:paraId="55CB0269" w14:textId="77777777" w:rsidR="0066286E" w:rsidRDefault="00AD5955">
      <w:pPr>
        <w:pStyle w:val="TOC2"/>
        <w:rPr>
          <w:rFonts w:asciiTheme="minorHAnsi" w:eastAsiaTheme="minorEastAsia" w:hAnsiTheme="minorHAnsi" w:cstheme="minorBidi"/>
          <w:noProof/>
          <w:sz w:val="22"/>
          <w:szCs w:val="22"/>
          <w:lang w:eastAsia="fr-CA"/>
        </w:rPr>
      </w:pPr>
      <w:hyperlink w:anchor="_Toc39172711" w:history="1">
        <w:r w:rsidR="0066286E" w:rsidRPr="002C29DC">
          <w:rPr>
            <w:rStyle w:val="Hyperlink"/>
            <w:rFonts w:ascii="Arial" w:hAnsi="Arial"/>
            <w:noProof/>
          </w:rPr>
          <w:t>DÉLCARATION AU SUJET DES PORTEFEUILLES EN VERTU DE L’APPROCHE NORMALISÉE</w:t>
        </w:r>
        <w:r w:rsidR="0066286E">
          <w:rPr>
            <w:noProof/>
            <w:webHidden/>
          </w:rPr>
          <w:tab/>
        </w:r>
        <w:r w:rsidR="0066286E">
          <w:rPr>
            <w:noProof/>
            <w:webHidden/>
          </w:rPr>
          <w:fldChar w:fldCharType="begin"/>
        </w:r>
        <w:r w:rsidR="0066286E">
          <w:rPr>
            <w:noProof/>
            <w:webHidden/>
          </w:rPr>
          <w:instrText xml:space="preserve"> PAGEREF _Toc39172711 \h </w:instrText>
        </w:r>
        <w:r w:rsidR="0066286E">
          <w:rPr>
            <w:noProof/>
            <w:webHidden/>
          </w:rPr>
        </w:r>
        <w:r w:rsidR="0066286E">
          <w:rPr>
            <w:noProof/>
            <w:webHidden/>
          </w:rPr>
          <w:fldChar w:fldCharType="separate"/>
        </w:r>
        <w:r w:rsidR="0066286E">
          <w:rPr>
            <w:noProof/>
            <w:webHidden/>
          </w:rPr>
          <w:t>12</w:t>
        </w:r>
        <w:r w:rsidR="0066286E">
          <w:rPr>
            <w:noProof/>
            <w:webHidden/>
          </w:rPr>
          <w:fldChar w:fldCharType="end"/>
        </w:r>
      </w:hyperlink>
    </w:p>
    <w:p w14:paraId="682861D0" w14:textId="77777777" w:rsidR="0066286E" w:rsidRDefault="00AD5955">
      <w:pPr>
        <w:pStyle w:val="TOC2"/>
        <w:rPr>
          <w:rFonts w:asciiTheme="minorHAnsi" w:eastAsiaTheme="minorEastAsia" w:hAnsiTheme="minorHAnsi" w:cstheme="minorBidi"/>
          <w:noProof/>
          <w:sz w:val="22"/>
          <w:szCs w:val="22"/>
          <w:lang w:eastAsia="fr-CA"/>
        </w:rPr>
      </w:pPr>
      <w:hyperlink w:anchor="_Toc39172712" w:history="1">
        <w:r w:rsidR="0066286E" w:rsidRPr="002C29DC">
          <w:rPr>
            <w:rStyle w:val="Hyperlink"/>
            <w:rFonts w:ascii="Arial" w:hAnsi="Arial"/>
            <w:noProof/>
          </w:rPr>
          <w:t>DÉCLARATIONS AU SUJET DES PORTEFEUILLES EN VERTU DE L'APPROCHE DE NOTATION INTERNE (NI)</w:t>
        </w:r>
        <w:r w:rsidR="0066286E">
          <w:rPr>
            <w:noProof/>
            <w:webHidden/>
          </w:rPr>
          <w:tab/>
        </w:r>
        <w:r w:rsidR="0066286E">
          <w:rPr>
            <w:noProof/>
            <w:webHidden/>
          </w:rPr>
          <w:fldChar w:fldCharType="begin"/>
        </w:r>
        <w:r w:rsidR="0066286E">
          <w:rPr>
            <w:noProof/>
            <w:webHidden/>
          </w:rPr>
          <w:instrText xml:space="preserve"> PAGEREF _Toc39172712 \h </w:instrText>
        </w:r>
        <w:r w:rsidR="0066286E">
          <w:rPr>
            <w:noProof/>
            <w:webHidden/>
          </w:rPr>
        </w:r>
        <w:r w:rsidR="0066286E">
          <w:rPr>
            <w:noProof/>
            <w:webHidden/>
          </w:rPr>
          <w:fldChar w:fldCharType="separate"/>
        </w:r>
        <w:r w:rsidR="0066286E">
          <w:rPr>
            <w:noProof/>
            <w:webHidden/>
          </w:rPr>
          <w:t>12</w:t>
        </w:r>
        <w:r w:rsidR="0066286E">
          <w:rPr>
            <w:noProof/>
            <w:webHidden/>
          </w:rPr>
          <w:fldChar w:fldCharType="end"/>
        </w:r>
      </w:hyperlink>
    </w:p>
    <w:p w14:paraId="703D6970" w14:textId="77777777" w:rsidR="0066286E" w:rsidRDefault="00AD5955">
      <w:pPr>
        <w:pStyle w:val="TOC2"/>
        <w:rPr>
          <w:rFonts w:asciiTheme="minorHAnsi" w:eastAsiaTheme="minorEastAsia" w:hAnsiTheme="minorHAnsi" w:cstheme="minorBidi"/>
          <w:noProof/>
          <w:sz w:val="22"/>
          <w:szCs w:val="22"/>
          <w:lang w:eastAsia="fr-CA"/>
        </w:rPr>
      </w:pPr>
      <w:hyperlink w:anchor="_Toc39172713" w:history="1">
        <w:r w:rsidR="0066286E" w:rsidRPr="002C29DC">
          <w:rPr>
            <w:rStyle w:val="Hyperlink"/>
            <w:rFonts w:ascii="Arial" w:hAnsi="Arial"/>
            <w:noProof/>
          </w:rPr>
          <w:t>LIMITATION DES RISQUES DE CRÉDIT</w:t>
        </w:r>
        <w:r w:rsidR="0066286E">
          <w:rPr>
            <w:noProof/>
            <w:webHidden/>
          </w:rPr>
          <w:tab/>
        </w:r>
        <w:r w:rsidR="0066286E">
          <w:rPr>
            <w:noProof/>
            <w:webHidden/>
          </w:rPr>
          <w:fldChar w:fldCharType="begin"/>
        </w:r>
        <w:r w:rsidR="0066286E">
          <w:rPr>
            <w:noProof/>
            <w:webHidden/>
          </w:rPr>
          <w:instrText xml:space="preserve"> PAGEREF _Toc39172713 \h </w:instrText>
        </w:r>
        <w:r w:rsidR="0066286E">
          <w:rPr>
            <w:noProof/>
            <w:webHidden/>
          </w:rPr>
        </w:r>
        <w:r w:rsidR="0066286E">
          <w:rPr>
            <w:noProof/>
            <w:webHidden/>
          </w:rPr>
          <w:fldChar w:fldCharType="separate"/>
        </w:r>
        <w:r w:rsidR="0066286E">
          <w:rPr>
            <w:noProof/>
            <w:webHidden/>
          </w:rPr>
          <w:t>12</w:t>
        </w:r>
        <w:r w:rsidR="0066286E">
          <w:rPr>
            <w:noProof/>
            <w:webHidden/>
          </w:rPr>
          <w:fldChar w:fldCharType="end"/>
        </w:r>
      </w:hyperlink>
    </w:p>
    <w:p w14:paraId="7F02D7B5" w14:textId="77777777" w:rsidR="0066286E" w:rsidRDefault="00AD5955">
      <w:pPr>
        <w:pStyle w:val="TOC2"/>
        <w:rPr>
          <w:rFonts w:asciiTheme="minorHAnsi" w:eastAsiaTheme="minorEastAsia" w:hAnsiTheme="minorHAnsi" w:cstheme="minorBidi"/>
          <w:noProof/>
          <w:sz w:val="22"/>
          <w:szCs w:val="22"/>
          <w:lang w:eastAsia="fr-CA"/>
        </w:rPr>
      </w:pPr>
      <w:hyperlink w:anchor="_Toc39172714" w:history="1">
        <w:r w:rsidR="0066286E" w:rsidRPr="002C29DC">
          <w:rPr>
            <w:rStyle w:val="Hyperlink"/>
            <w:rFonts w:ascii="Arial" w:hAnsi="Arial"/>
            <w:noProof/>
          </w:rPr>
          <w:t>DÉCLARATIONS GÉNÉRALES AU SUJET DE L’EXPOSITION AU RISQUE DE CRÉDIT DES CONTREPARTIES</w:t>
        </w:r>
        <w:r w:rsidR="0066286E">
          <w:rPr>
            <w:noProof/>
            <w:webHidden/>
          </w:rPr>
          <w:tab/>
        </w:r>
        <w:r w:rsidR="0066286E">
          <w:rPr>
            <w:noProof/>
            <w:webHidden/>
          </w:rPr>
          <w:fldChar w:fldCharType="begin"/>
        </w:r>
        <w:r w:rsidR="0066286E">
          <w:rPr>
            <w:noProof/>
            <w:webHidden/>
          </w:rPr>
          <w:instrText xml:space="preserve"> PAGEREF _Toc39172714 \h </w:instrText>
        </w:r>
        <w:r w:rsidR="0066286E">
          <w:rPr>
            <w:noProof/>
            <w:webHidden/>
          </w:rPr>
        </w:r>
        <w:r w:rsidR="0066286E">
          <w:rPr>
            <w:noProof/>
            <w:webHidden/>
          </w:rPr>
          <w:fldChar w:fldCharType="separate"/>
        </w:r>
        <w:r w:rsidR="0066286E">
          <w:rPr>
            <w:noProof/>
            <w:webHidden/>
          </w:rPr>
          <w:t>12</w:t>
        </w:r>
        <w:r w:rsidR="0066286E">
          <w:rPr>
            <w:noProof/>
            <w:webHidden/>
          </w:rPr>
          <w:fldChar w:fldCharType="end"/>
        </w:r>
      </w:hyperlink>
    </w:p>
    <w:p w14:paraId="2B1A3BDB" w14:textId="77777777" w:rsidR="0066286E" w:rsidRDefault="00AD5955">
      <w:pPr>
        <w:pStyle w:val="TOC2"/>
        <w:rPr>
          <w:rFonts w:asciiTheme="minorHAnsi" w:eastAsiaTheme="minorEastAsia" w:hAnsiTheme="minorHAnsi" w:cstheme="minorBidi"/>
          <w:noProof/>
          <w:sz w:val="22"/>
          <w:szCs w:val="22"/>
          <w:lang w:eastAsia="fr-CA"/>
        </w:rPr>
      </w:pPr>
      <w:hyperlink w:anchor="_Toc39172715" w:history="1">
        <w:r w:rsidR="0066286E" w:rsidRPr="002C29DC">
          <w:rPr>
            <w:rStyle w:val="Hyperlink"/>
            <w:rFonts w:ascii="Arial" w:hAnsi="Arial"/>
            <w:noProof/>
          </w:rPr>
          <w:t>SÉCURISATION : DÉCLARATIONS AU SUJET DE L’APPROCHE NORMALISÉE</w:t>
        </w:r>
        <w:r w:rsidR="0066286E">
          <w:rPr>
            <w:noProof/>
            <w:webHidden/>
          </w:rPr>
          <w:tab/>
        </w:r>
        <w:r w:rsidR="0066286E">
          <w:rPr>
            <w:noProof/>
            <w:webHidden/>
          </w:rPr>
          <w:fldChar w:fldCharType="begin"/>
        </w:r>
        <w:r w:rsidR="0066286E">
          <w:rPr>
            <w:noProof/>
            <w:webHidden/>
          </w:rPr>
          <w:instrText xml:space="preserve"> PAGEREF _Toc39172715 \h </w:instrText>
        </w:r>
        <w:r w:rsidR="0066286E">
          <w:rPr>
            <w:noProof/>
            <w:webHidden/>
          </w:rPr>
        </w:r>
        <w:r w:rsidR="0066286E">
          <w:rPr>
            <w:noProof/>
            <w:webHidden/>
          </w:rPr>
          <w:fldChar w:fldCharType="separate"/>
        </w:r>
        <w:r w:rsidR="0066286E">
          <w:rPr>
            <w:noProof/>
            <w:webHidden/>
          </w:rPr>
          <w:t>13</w:t>
        </w:r>
        <w:r w:rsidR="0066286E">
          <w:rPr>
            <w:noProof/>
            <w:webHidden/>
          </w:rPr>
          <w:fldChar w:fldCharType="end"/>
        </w:r>
      </w:hyperlink>
    </w:p>
    <w:p w14:paraId="28771933" w14:textId="77777777" w:rsidR="0066286E" w:rsidRDefault="00AD5955">
      <w:pPr>
        <w:pStyle w:val="TOC1"/>
        <w:rPr>
          <w:rFonts w:asciiTheme="minorHAnsi" w:eastAsiaTheme="minorEastAsia" w:hAnsiTheme="minorHAnsi" w:cstheme="minorBidi"/>
          <w:noProof/>
          <w:sz w:val="22"/>
          <w:szCs w:val="22"/>
          <w:lang w:eastAsia="fr-CA"/>
        </w:rPr>
      </w:pPr>
      <w:hyperlink w:anchor="_Toc39172716" w:history="1">
        <w:r w:rsidR="0066286E" w:rsidRPr="002C29DC">
          <w:rPr>
            <w:rStyle w:val="Hyperlink"/>
            <w:rFonts w:ascii="Arial" w:hAnsi="Arial"/>
            <w:noProof/>
          </w:rPr>
          <w:t>ANNEXE C : RISQUE DE TAUX D’INTÉRÊT</w:t>
        </w:r>
        <w:r w:rsidR="0066286E">
          <w:rPr>
            <w:noProof/>
            <w:webHidden/>
          </w:rPr>
          <w:tab/>
        </w:r>
        <w:r w:rsidR="0066286E">
          <w:rPr>
            <w:noProof/>
            <w:webHidden/>
          </w:rPr>
          <w:fldChar w:fldCharType="begin"/>
        </w:r>
        <w:r w:rsidR="0066286E">
          <w:rPr>
            <w:noProof/>
            <w:webHidden/>
          </w:rPr>
          <w:instrText xml:space="preserve"> PAGEREF _Toc39172716 \h </w:instrText>
        </w:r>
        <w:r w:rsidR="0066286E">
          <w:rPr>
            <w:noProof/>
            <w:webHidden/>
          </w:rPr>
        </w:r>
        <w:r w:rsidR="0066286E">
          <w:rPr>
            <w:noProof/>
            <w:webHidden/>
          </w:rPr>
          <w:fldChar w:fldCharType="separate"/>
        </w:r>
        <w:r w:rsidR="0066286E">
          <w:rPr>
            <w:noProof/>
            <w:webHidden/>
          </w:rPr>
          <w:t>15</w:t>
        </w:r>
        <w:r w:rsidR="0066286E">
          <w:rPr>
            <w:noProof/>
            <w:webHidden/>
          </w:rPr>
          <w:fldChar w:fldCharType="end"/>
        </w:r>
      </w:hyperlink>
    </w:p>
    <w:p w14:paraId="7C0E8ECB" w14:textId="0AAC87C2" w:rsidR="0066286E" w:rsidRDefault="00AD5955">
      <w:pPr>
        <w:pStyle w:val="TOC1"/>
        <w:rPr>
          <w:rFonts w:asciiTheme="minorHAnsi" w:eastAsiaTheme="minorEastAsia" w:hAnsiTheme="minorHAnsi" w:cstheme="minorBidi"/>
          <w:noProof/>
          <w:sz w:val="22"/>
          <w:szCs w:val="22"/>
          <w:lang w:eastAsia="fr-CA"/>
        </w:rPr>
      </w:pPr>
      <w:hyperlink w:anchor="_Toc39172717" w:history="1">
        <w:r w:rsidR="0066286E" w:rsidRPr="002C29DC">
          <w:rPr>
            <w:rStyle w:val="Hyperlink"/>
            <w:rFonts w:ascii="Arial" w:hAnsi="Arial"/>
            <w:noProof/>
          </w:rPr>
          <w:t>ANNEXE D : RÉMUNÉRATION</w:t>
        </w:r>
        <w:r w:rsidR="0066286E">
          <w:rPr>
            <w:noProof/>
            <w:webHidden/>
          </w:rPr>
          <w:tab/>
        </w:r>
        <w:r w:rsidR="0066286E">
          <w:rPr>
            <w:noProof/>
            <w:webHidden/>
          </w:rPr>
          <w:fldChar w:fldCharType="begin"/>
        </w:r>
        <w:r w:rsidR="0066286E">
          <w:rPr>
            <w:noProof/>
            <w:webHidden/>
          </w:rPr>
          <w:instrText xml:space="preserve"> PAGEREF _Toc39172717 \h </w:instrText>
        </w:r>
        <w:r w:rsidR="0066286E">
          <w:rPr>
            <w:noProof/>
            <w:webHidden/>
          </w:rPr>
        </w:r>
        <w:r w:rsidR="0066286E">
          <w:rPr>
            <w:noProof/>
            <w:webHidden/>
          </w:rPr>
          <w:fldChar w:fldCharType="separate"/>
        </w:r>
        <w:r w:rsidR="00FC6C69">
          <w:rPr>
            <w:noProof/>
            <w:webHidden/>
          </w:rPr>
          <w:t>16</w:t>
        </w:r>
        <w:r w:rsidR="0066286E">
          <w:rPr>
            <w:noProof/>
            <w:webHidden/>
          </w:rPr>
          <w:fldChar w:fldCharType="end"/>
        </w:r>
      </w:hyperlink>
    </w:p>
    <w:p w14:paraId="480C4097" w14:textId="0567CFA0" w:rsidR="002F3395" w:rsidRDefault="002F3395" w:rsidP="00E53226">
      <w:r>
        <w:fldChar w:fldCharType="end"/>
      </w:r>
    </w:p>
    <w:p w14:paraId="1916AD0F" w14:textId="77777777" w:rsidR="00C007DE" w:rsidRPr="00216C30" w:rsidRDefault="00E53226" w:rsidP="00B26F10">
      <w:pPr>
        <w:pStyle w:val="Heading1"/>
        <w:rPr>
          <w:rFonts w:ascii="Arial" w:hAnsi="Arial" w:cs="Arial"/>
        </w:rPr>
      </w:pPr>
      <w:r>
        <w:br w:type="page"/>
      </w:r>
      <w:bookmarkStart w:id="0" w:name="_Toc514152855"/>
      <w:bookmarkStart w:id="1" w:name="_Toc39172694"/>
      <w:r>
        <w:rPr>
          <w:rFonts w:ascii="Arial" w:hAnsi="Arial"/>
        </w:rPr>
        <w:lastRenderedPageBreak/>
        <w:t>APERÇU DU DOCUMENT</w:t>
      </w:r>
      <w:bookmarkEnd w:id="0"/>
      <w:bookmarkEnd w:id="1"/>
      <w:r>
        <w:rPr>
          <w:rFonts w:ascii="Arial" w:hAnsi="Arial"/>
        </w:rPr>
        <w:t xml:space="preserve"> </w:t>
      </w:r>
    </w:p>
    <w:p w14:paraId="15F9E7E0" w14:textId="2EE506B1" w:rsidR="001F418C" w:rsidRPr="00216C30" w:rsidRDefault="002F3395" w:rsidP="006F4CE5">
      <w:pPr>
        <w:rPr>
          <w:rFonts w:ascii="Arial" w:hAnsi="Arial" w:cs="Arial"/>
        </w:rPr>
      </w:pPr>
      <w:r>
        <w:rPr>
          <w:rFonts w:ascii="Arial" w:hAnsi="Arial"/>
        </w:rPr>
        <w:t>Ce document contient les divulgations au titre du 3</w:t>
      </w:r>
      <w:r>
        <w:rPr>
          <w:rFonts w:ascii="Arial" w:hAnsi="Arial"/>
          <w:vertAlign w:val="superscript"/>
        </w:rPr>
        <w:t>e</w:t>
      </w:r>
      <w:r>
        <w:rPr>
          <w:rFonts w:ascii="Arial" w:hAnsi="Arial"/>
        </w:rPr>
        <w:t xml:space="preserve"> pilier de La Banque Duo du Canada (la « Banque ») en date du mardi, décembre 31, 2019, conformément aux exigences en matière de divulgation du 3</w:t>
      </w:r>
      <w:r>
        <w:rPr>
          <w:rFonts w:ascii="Arial" w:hAnsi="Arial"/>
          <w:vertAlign w:val="superscript"/>
        </w:rPr>
        <w:t>e</w:t>
      </w:r>
      <w:r>
        <w:rPr>
          <w:rFonts w:ascii="Arial" w:hAnsi="Arial"/>
        </w:rPr>
        <w:t xml:space="preserve"> pilier du BSIF.  Ce rapport n'a pas fait l'objet d'une vérification et les valeurs sont exprimées en millions de dollars canadiens, à moins qu’il soit précisé autrement. </w:t>
      </w:r>
    </w:p>
    <w:p w14:paraId="2F414488" w14:textId="77777777" w:rsidR="001F418C" w:rsidRPr="00216C30" w:rsidRDefault="001F418C" w:rsidP="003E0C7F">
      <w:pPr>
        <w:pStyle w:val="Heading1"/>
        <w:rPr>
          <w:rFonts w:ascii="Arial" w:hAnsi="Arial" w:cs="Arial"/>
        </w:rPr>
      </w:pPr>
      <w:bookmarkStart w:id="2" w:name="_Toc514152856"/>
      <w:bookmarkStart w:id="3" w:name="_Toc39172695"/>
      <w:bookmarkStart w:id="4" w:name="_Hlk28954904"/>
      <w:r>
        <w:rPr>
          <w:rFonts w:ascii="Arial" w:hAnsi="Arial"/>
        </w:rPr>
        <w:t>ENTITÉ DE LA DÉCLARATION</w:t>
      </w:r>
      <w:bookmarkEnd w:id="2"/>
      <w:bookmarkEnd w:id="3"/>
      <w:r>
        <w:rPr>
          <w:rFonts w:ascii="Arial" w:hAnsi="Arial"/>
        </w:rPr>
        <w:t xml:space="preserve"> </w:t>
      </w:r>
    </w:p>
    <w:p w14:paraId="75EEEC2C" w14:textId="77777777" w:rsidR="00697BEC" w:rsidRDefault="00527ABF" w:rsidP="006F4CE5">
      <w:pPr>
        <w:rPr>
          <w:rFonts w:ascii="Arial" w:hAnsi="Arial" w:cs="Arial"/>
        </w:rPr>
      </w:pPr>
      <w:r>
        <w:rPr>
          <w:rFonts w:ascii="Arial" w:hAnsi="Arial"/>
        </w:rPr>
        <w:t>La Banque est située au Canada et a été incorporée en tant que banque à charte canadienne de l’Annexe II, en vertu de la Loi sur les banques, le 24 juillet 2009.  La Banque a reçu une autorisation d'entrer sur le marché et d'exercer ses activités commerciales le 1</w:t>
      </w:r>
      <w:r>
        <w:rPr>
          <w:rFonts w:ascii="Arial" w:hAnsi="Arial"/>
          <w:vertAlign w:val="superscript"/>
        </w:rPr>
        <w:t>er</w:t>
      </w:r>
      <w:r>
        <w:rPr>
          <w:rFonts w:ascii="Arial" w:hAnsi="Arial"/>
        </w:rPr>
        <w:t xml:space="preserve"> juin 2010 et à cette époque, a lancé la carte de Récompenses MasterCard. L'adresse du siège social de La Banque est le : 1940 West </w:t>
      </w:r>
      <w:proofErr w:type="spellStart"/>
      <w:r>
        <w:rPr>
          <w:rFonts w:ascii="Arial" w:hAnsi="Arial"/>
        </w:rPr>
        <w:t>Credit</w:t>
      </w:r>
      <w:proofErr w:type="spellEnd"/>
      <w:r>
        <w:rPr>
          <w:rFonts w:ascii="Arial" w:hAnsi="Arial"/>
        </w:rPr>
        <w:t xml:space="preserve"> Ave, Mississauga, Ontario, L5N 5N1.  </w:t>
      </w:r>
    </w:p>
    <w:p w14:paraId="69E73ADC" w14:textId="77777777" w:rsidR="00697BEC" w:rsidRDefault="00697BEC" w:rsidP="006F4CE5">
      <w:pPr>
        <w:rPr>
          <w:rFonts w:ascii="Arial" w:hAnsi="Arial" w:cs="Arial"/>
        </w:rPr>
      </w:pPr>
    </w:p>
    <w:p w14:paraId="66C9F2E5" w14:textId="30EB8EBF" w:rsidR="001F418C" w:rsidRPr="00216C30" w:rsidRDefault="003B2025" w:rsidP="006F4CE5">
      <w:pPr>
        <w:rPr>
          <w:rFonts w:ascii="Arial" w:hAnsi="Arial" w:cs="Arial"/>
        </w:rPr>
      </w:pPr>
      <w:r>
        <w:rPr>
          <w:rFonts w:ascii="Arial" w:hAnsi="Arial"/>
        </w:rPr>
        <w:t>Active depuis le 1</w:t>
      </w:r>
      <w:r>
        <w:rPr>
          <w:rFonts w:ascii="Arial" w:hAnsi="Arial"/>
          <w:vertAlign w:val="superscript"/>
        </w:rPr>
        <w:t>er</w:t>
      </w:r>
      <w:r>
        <w:rPr>
          <w:rFonts w:ascii="Arial" w:hAnsi="Arial"/>
        </w:rPr>
        <w:t xml:space="preserve"> avril 2019, la Banque est une filiale détenue entièrement par Duo Financial Corporation (la «</w:t>
      </w:r>
      <w:r w:rsidR="003C0223">
        <w:rPr>
          <w:rFonts w:ascii="Arial" w:hAnsi="Arial"/>
        </w:rPr>
        <w:t xml:space="preserve"> </w:t>
      </w:r>
      <w:r>
        <w:rPr>
          <w:rFonts w:ascii="Arial" w:hAnsi="Arial"/>
        </w:rPr>
        <w:t>société mère</w:t>
      </w:r>
      <w:r w:rsidR="003C0223">
        <w:rPr>
          <w:rFonts w:ascii="Arial" w:hAnsi="Arial"/>
        </w:rPr>
        <w:t xml:space="preserve"> </w:t>
      </w:r>
      <w:r>
        <w:rPr>
          <w:rFonts w:ascii="Arial" w:hAnsi="Arial"/>
        </w:rPr>
        <w:t>»).  En septembre 2019, la Banque a lancé un programme de courtiers CGP. Ces derniers sont admissibles à l’assurance-dépôt de la Société d’assurance-dépôt du Canada. La Banque n'est pas considérée comme une banque d’importance systémique intérieure (BISI) par le BSIF.</w:t>
      </w:r>
    </w:p>
    <w:p w14:paraId="6C782763" w14:textId="77777777" w:rsidR="001F418C" w:rsidRPr="00216C30" w:rsidRDefault="001F418C" w:rsidP="003E0C7F">
      <w:pPr>
        <w:pStyle w:val="Heading1"/>
        <w:rPr>
          <w:rFonts w:ascii="Arial" w:hAnsi="Arial" w:cs="Arial"/>
        </w:rPr>
      </w:pPr>
      <w:bookmarkStart w:id="5" w:name="_Toc514152857"/>
      <w:bookmarkStart w:id="6" w:name="_Toc39172696"/>
      <w:bookmarkEnd w:id="4"/>
      <w:r>
        <w:rPr>
          <w:rFonts w:ascii="Arial" w:hAnsi="Arial"/>
        </w:rPr>
        <w:t>GESTION DES RISQUES FINANCIERS</w:t>
      </w:r>
      <w:bookmarkEnd w:id="5"/>
      <w:bookmarkEnd w:id="6"/>
    </w:p>
    <w:p w14:paraId="588BE5E4" w14:textId="77777777" w:rsidR="00181F5D" w:rsidRPr="00216C30" w:rsidRDefault="001F418C" w:rsidP="006F4CE5">
      <w:pPr>
        <w:rPr>
          <w:rFonts w:ascii="Arial" w:hAnsi="Arial" w:cs="Arial"/>
        </w:rPr>
      </w:pPr>
      <w:r>
        <w:rPr>
          <w:rFonts w:ascii="Arial" w:hAnsi="Arial"/>
        </w:rPr>
        <w:t xml:space="preserve">La Banque est exposée aux risques de crédit, aux risques de taux d’intérêts et aux risques de liquidités </w:t>
      </w:r>
      <w:proofErr w:type="gramStart"/>
      <w:r>
        <w:rPr>
          <w:rFonts w:ascii="Arial" w:hAnsi="Arial"/>
        </w:rPr>
        <w:t>de par</w:t>
      </w:r>
      <w:proofErr w:type="gramEnd"/>
      <w:r>
        <w:rPr>
          <w:rFonts w:ascii="Arial" w:hAnsi="Arial"/>
        </w:rPr>
        <w:t xml:space="preserve"> son utilisation d'instruments financiers. La Banque n’a pas de portefeuille de transactions alors elle est dans l’ensemble faiblement exposée au risque du marché.</w:t>
      </w:r>
    </w:p>
    <w:p w14:paraId="09FF4F72" w14:textId="77777777" w:rsidR="00734917" w:rsidRPr="00216C30" w:rsidRDefault="00734917" w:rsidP="006F4CE5">
      <w:pPr>
        <w:rPr>
          <w:rFonts w:ascii="Arial" w:hAnsi="Arial" w:cs="Arial"/>
        </w:rPr>
      </w:pPr>
    </w:p>
    <w:p w14:paraId="2297864F" w14:textId="77777777" w:rsidR="001F418C" w:rsidRPr="00216C30" w:rsidRDefault="001F418C" w:rsidP="003E0C7F">
      <w:pPr>
        <w:pStyle w:val="Heading2"/>
        <w:rPr>
          <w:rFonts w:ascii="Arial" w:hAnsi="Arial" w:cs="Arial"/>
        </w:rPr>
      </w:pPr>
      <w:bookmarkStart w:id="7" w:name="_Toc514152858"/>
      <w:bookmarkStart w:id="8" w:name="_Toc39172697"/>
      <w:r>
        <w:rPr>
          <w:rFonts w:ascii="Arial" w:hAnsi="Arial"/>
        </w:rPr>
        <w:t>Cadre de travail pour la gestion des risques</w:t>
      </w:r>
      <w:bookmarkEnd w:id="7"/>
      <w:bookmarkEnd w:id="8"/>
    </w:p>
    <w:p w14:paraId="2A083986" w14:textId="0F9CF751" w:rsidR="001F418C" w:rsidRPr="00216C30" w:rsidRDefault="001F418C" w:rsidP="006F4CE5">
      <w:pPr>
        <w:rPr>
          <w:rFonts w:ascii="Arial" w:hAnsi="Arial" w:cs="Arial"/>
        </w:rPr>
      </w:pPr>
      <w:r>
        <w:rPr>
          <w:rFonts w:ascii="Arial" w:hAnsi="Arial"/>
        </w:rPr>
        <w:t>Le conseil d'administration (le «</w:t>
      </w:r>
      <w:r w:rsidR="003C0223">
        <w:rPr>
          <w:rFonts w:ascii="Arial" w:hAnsi="Arial"/>
        </w:rPr>
        <w:t xml:space="preserve"> </w:t>
      </w:r>
      <w:r>
        <w:rPr>
          <w:rFonts w:ascii="Arial" w:hAnsi="Arial"/>
        </w:rPr>
        <w:t>Conseil</w:t>
      </w:r>
      <w:r w:rsidR="003C0223">
        <w:rPr>
          <w:rFonts w:ascii="Arial" w:hAnsi="Arial"/>
        </w:rPr>
        <w:t xml:space="preserve"> </w:t>
      </w:r>
      <w:r>
        <w:rPr>
          <w:rFonts w:ascii="Arial" w:hAnsi="Arial"/>
        </w:rPr>
        <w:t>») a la responsabilité de surveiller le cadre de travail de la gestion des risques de la Banque.  La Banque a établi un comité de la gestion de l'actif et du passif («</w:t>
      </w:r>
      <w:r w:rsidR="003C0223">
        <w:rPr>
          <w:rFonts w:ascii="Arial" w:hAnsi="Arial"/>
        </w:rPr>
        <w:t xml:space="preserve"> </w:t>
      </w:r>
      <w:r>
        <w:rPr>
          <w:rFonts w:ascii="Arial" w:hAnsi="Arial"/>
        </w:rPr>
        <w:t>CGAP</w:t>
      </w:r>
      <w:r w:rsidR="003C0223">
        <w:rPr>
          <w:rFonts w:ascii="Arial" w:hAnsi="Arial"/>
        </w:rPr>
        <w:t xml:space="preserve"> </w:t>
      </w:r>
      <w:r>
        <w:rPr>
          <w:rFonts w:ascii="Arial" w:hAnsi="Arial"/>
        </w:rPr>
        <w:t>»), un comité de risque de crédit («</w:t>
      </w:r>
      <w:r w:rsidR="003C0223">
        <w:rPr>
          <w:rFonts w:ascii="Arial" w:hAnsi="Arial"/>
        </w:rPr>
        <w:t xml:space="preserve"> </w:t>
      </w:r>
      <w:r>
        <w:rPr>
          <w:rFonts w:ascii="Arial" w:hAnsi="Arial"/>
        </w:rPr>
        <w:t>CRC</w:t>
      </w:r>
      <w:r w:rsidR="003C0223">
        <w:rPr>
          <w:rFonts w:ascii="Arial" w:hAnsi="Arial"/>
        </w:rPr>
        <w:t xml:space="preserve"> </w:t>
      </w:r>
      <w:r>
        <w:rPr>
          <w:rFonts w:ascii="Arial" w:hAnsi="Arial"/>
        </w:rPr>
        <w:t>») et un comité de la haute direction.  Ces comités sont responsables du développement et du contrôle des directives de gestion des risques de la Banque pour leurs secteurs de gestion spécifique et ils se rapportent au conseil d'administration de façon régulière.  Le comité de révision et le comité des vérifications sont des comités de direction supplémentaires qui se rapportent au conseil d'administration.</w:t>
      </w:r>
    </w:p>
    <w:p w14:paraId="1893A5B2" w14:textId="77777777" w:rsidR="001F418C" w:rsidRPr="00216C30" w:rsidRDefault="001F418C" w:rsidP="006F4CE5">
      <w:pPr>
        <w:rPr>
          <w:rFonts w:ascii="Arial" w:hAnsi="Arial" w:cs="Arial"/>
        </w:rPr>
      </w:pPr>
    </w:p>
    <w:p w14:paraId="7348533C" w14:textId="77777777" w:rsidR="001F418C" w:rsidRPr="00216C30" w:rsidRDefault="001F418C" w:rsidP="006F4CE5">
      <w:pPr>
        <w:rPr>
          <w:rFonts w:ascii="Arial" w:hAnsi="Arial" w:cs="Arial"/>
        </w:rPr>
      </w:pPr>
      <w:r>
        <w:rPr>
          <w:rFonts w:ascii="Arial" w:hAnsi="Arial"/>
        </w:rPr>
        <w:t>Le conseil d'administration et la direction de la Banque établissent les directives de gestion des risques pour identifier et définir les risques auxquels la Banque fait face, établissent les limites de risques et les contrôles appropriés et spécifient les processus pour garantir le respect de ces limites.</w:t>
      </w:r>
    </w:p>
    <w:p w14:paraId="38AE2021" w14:textId="77777777" w:rsidR="00734917" w:rsidRPr="00216C30" w:rsidRDefault="00734917" w:rsidP="006F4CE5">
      <w:pPr>
        <w:rPr>
          <w:rFonts w:ascii="Arial" w:hAnsi="Arial" w:cs="Arial"/>
        </w:rPr>
      </w:pPr>
    </w:p>
    <w:p w14:paraId="0B136B3B" w14:textId="77777777" w:rsidR="001F418C" w:rsidRPr="00216C30" w:rsidRDefault="001F418C" w:rsidP="003E0C7F">
      <w:pPr>
        <w:pStyle w:val="Heading2"/>
        <w:rPr>
          <w:rFonts w:ascii="Arial" w:hAnsi="Arial" w:cs="Arial"/>
        </w:rPr>
      </w:pPr>
      <w:bookmarkStart w:id="9" w:name="_Toc514152859"/>
      <w:bookmarkStart w:id="10" w:name="_Toc39172698"/>
      <w:r>
        <w:rPr>
          <w:rFonts w:ascii="Arial" w:hAnsi="Arial"/>
        </w:rPr>
        <w:lastRenderedPageBreak/>
        <w:t>Risque de crédit</w:t>
      </w:r>
      <w:bookmarkEnd w:id="9"/>
      <w:bookmarkEnd w:id="10"/>
    </w:p>
    <w:p w14:paraId="030576BA" w14:textId="77777777" w:rsidR="001F418C" w:rsidRPr="00216C30" w:rsidRDefault="001F418C" w:rsidP="006F4CE5">
      <w:pPr>
        <w:rPr>
          <w:rFonts w:ascii="Arial" w:hAnsi="Arial" w:cs="Arial"/>
        </w:rPr>
      </w:pPr>
      <w:r>
        <w:rPr>
          <w:rFonts w:ascii="Arial" w:hAnsi="Arial"/>
          <w:color w:val="000000"/>
        </w:rPr>
        <w:t xml:space="preserve">Le risque de crédit </w:t>
      </w:r>
      <w:r>
        <w:rPr>
          <w:rFonts w:ascii="Arial" w:hAnsi="Arial"/>
        </w:rPr>
        <w:t>est le risque de perte financière pour la Banque, si un client ou une contrepartie</w:t>
      </w:r>
      <w:r>
        <w:rPr>
          <w:rFonts w:ascii="Arial" w:hAnsi="Arial"/>
          <w:color w:val="000000"/>
        </w:rPr>
        <w:t xml:space="preserve"> manque à ses obligations contractuelles</w:t>
      </w:r>
      <w:r>
        <w:rPr>
          <w:rFonts w:ascii="Arial" w:hAnsi="Arial"/>
        </w:rPr>
        <w:t xml:space="preserve"> d'un instrument financier.  Le risque de crédit pour la Banque provient principalement des prêts de crédit accordés par celle-ci aux clients.</w:t>
      </w:r>
    </w:p>
    <w:p w14:paraId="03A86B35" w14:textId="77777777" w:rsidR="001F418C" w:rsidRPr="00216C30" w:rsidRDefault="001F418C" w:rsidP="006F4CE5">
      <w:pPr>
        <w:rPr>
          <w:rFonts w:ascii="Arial" w:hAnsi="Arial" w:cs="Arial"/>
        </w:rPr>
      </w:pPr>
    </w:p>
    <w:p w14:paraId="6F25751E" w14:textId="77777777" w:rsidR="001F418C" w:rsidRPr="00216C30" w:rsidRDefault="001F418C" w:rsidP="006F4CE5">
      <w:pPr>
        <w:rPr>
          <w:rFonts w:ascii="Arial" w:hAnsi="Arial" w:cs="Arial"/>
        </w:rPr>
      </w:pPr>
      <w:r>
        <w:rPr>
          <w:rFonts w:ascii="Arial" w:hAnsi="Arial"/>
        </w:rPr>
        <w:t>Le Conseil est responsable de la surveillance de la gestion du risque de crédit.  Le CRC, sous la surveillance du Conseil, contrôle et approuve le programme de gestion du risque de crédit.  Le CRC appuie le chef de la gestion des risques et le Service de crédit dans les activités suivantes :</w:t>
      </w:r>
    </w:p>
    <w:p w14:paraId="0B0AFED2" w14:textId="77777777" w:rsidR="001F418C" w:rsidRPr="00216C30" w:rsidRDefault="001F418C" w:rsidP="006F4CE5">
      <w:pPr>
        <w:rPr>
          <w:rFonts w:ascii="Arial" w:hAnsi="Arial" w:cs="Arial"/>
        </w:rPr>
      </w:pPr>
    </w:p>
    <w:p w14:paraId="3FDE7D74" w14:textId="77777777" w:rsidR="001F418C" w:rsidRPr="00216C30" w:rsidRDefault="001F418C" w:rsidP="00E53226">
      <w:pPr>
        <w:rPr>
          <w:rFonts w:ascii="Arial" w:hAnsi="Arial" w:cs="Arial"/>
        </w:rPr>
      </w:pPr>
      <w:proofErr w:type="gramStart"/>
      <w:r>
        <w:rPr>
          <w:rFonts w:ascii="Arial" w:hAnsi="Arial"/>
        </w:rPr>
        <w:t>le</w:t>
      </w:r>
      <w:proofErr w:type="gramEnd"/>
      <w:r>
        <w:rPr>
          <w:rFonts w:ascii="Arial" w:hAnsi="Arial"/>
        </w:rPr>
        <w:t xml:space="preserve"> développement et la mise en place de directives et procédures saines et prudentes pour gérer et contrôler efficacement le risque de crédit.  Les directives comprennent les critères d'évaluation du risque, la cotation du risque et sa déclaration, la documentation et la conformité aux exigences légales, réglementaires ou législatives.</w:t>
      </w:r>
    </w:p>
    <w:p w14:paraId="557FA9B3" w14:textId="77777777" w:rsidR="001F418C" w:rsidRPr="00216C30" w:rsidRDefault="001F418C" w:rsidP="00E53226">
      <w:pPr>
        <w:rPr>
          <w:rFonts w:ascii="Arial" w:hAnsi="Arial" w:cs="Arial"/>
        </w:rPr>
      </w:pPr>
    </w:p>
    <w:p w14:paraId="1D9E1AB6" w14:textId="77777777" w:rsidR="001F418C" w:rsidRPr="00216C30" w:rsidRDefault="001F418C" w:rsidP="00E53226">
      <w:pPr>
        <w:rPr>
          <w:rFonts w:ascii="Arial" w:hAnsi="Arial" w:cs="Arial"/>
        </w:rPr>
      </w:pPr>
      <w:r>
        <w:rPr>
          <w:rFonts w:ascii="Arial" w:hAnsi="Arial"/>
        </w:rPr>
        <w:t>Le développement et la mise en place de processus efficaces d'octroi de crédit, de gestion des comptes et de recouvrement.  Les processus incluent la gestion des approbations, la diversification des limites de crédit, l'évaluation du risque de crédit, l'évaluation des demandes de crédit, l'identification et la gestion des fraudes et les annulations</w:t>
      </w:r>
      <w:r>
        <w:rPr>
          <w:rFonts w:ascii="Arial" w:hAnsi="Arial"/>
        </w:rPr>
        <w:noBreakHyphen/>
        <w:t>.</w:t>
      </w:r>
    </w:p>
    <w:p w14:paraId="5573740F" w14:textId="77777777" w:rsidR="001F418C" w:rsidRPr="00216C30" w:rsidRDefault="001E7FB4" w:rsidP="00E53226">
      <w:pPr>
        <w:rPr>
          <w:rFonts w:ascii="Arial" w:hAnsi="Arial" w:cs="Arial"/>
        </w:rPr>
      </w:pPr>
      <w:r>
        <w:rPr>
          <w:rFonts w:ascii="Arial" w:hAnsi="Arial"/>
        </w:rPr>
        <w:tab/>
      </w:r>
    </w:p>
    <w:p w14:paraId="49384947" w14:textId="77777777" w:rsidR="001F418C" w:rsidRPr="00216C30" w:rsidRDefault="001F418C" w:rsidP="00E53226">
      <w:pPr>
        <w:rPr>
          <w:rFonts w:ascii="Arial" w:hAnsi="Arial" w:cs="Arial"/>
        </w:rPr>
      </w:pPr>
      <w:r>
        <w:rPr>
          <w:rFonts w:ascii="Arial" w:hAnsi="Arial"/>
        </w:rPr>
        <w:t>Le développement et la mise en place de procédures complètes pour surveiller et contrôler efficacement la nature, les caractéristiques et la qualité du portefeuille de crédit.  Cela inclut les rapports, le contrôle des caractéristiques du portefeuille, les vérifications de concentration, le contrôle de la cotation du risque et les processus de vérification de crédit.</w:t>
      </w:r>
    </w:p>
    <w:p w14:paraId="0F5FFCDE" w14:textId="77777777" w:rsidR="00523D3F" w:rsidRPr="00216C30" w:rsidRDefault="00523D3F" w:rsidP="00E53226">
      <w:pPr>
        <w:rPr>
          <w:rFonts w:ascii="Arial" w:hAnsi="Arial" w:cs="Arial"/>
        </w:rPr>
      </w:pPr>
    </w:p>
    <w:p w14:paraId="70747C7B" w14:textId="77777777" w:rsidR="00523D3F" w:rsidRPr="00216C30" w:rsidRDefault="00523D3F" w:rsidP="00E53226">
      <w:pPr>
        <w:rPr>
          <w:rFonts w:ascii="Arial" w:hAnsi="Arial" w:cs="Arial"/>
        </w:rPr>
      </w:pPr>
      <w:r>
        <w:rPr>
          <w:rFonts w:ascii="Arial" w:hAnsi="Arial"/>
        </w:rPr>
        <w:t xml:space="preserve">Les informations détaillées au sujet du risque de crédit se trouvent à l’annexe </w:t>
      </w:r>
      <w:proofErr w:type="gramStart"/>
      <w:r>
        <w:rPr>
          <w:rFonts w:ascii="Arial" w:hAnsi="Arial"/>
        </w:rPr>
        <w:t>B .</w:t>
      </w:r>
      <w:proofErr w:type="gramEnd"/>
    </w:p>
    <w:p w14:paraId="3FD85E7D" w14:textId="77777777" w:rsidR="002C11EF" w:rsidRPr="00216C30" w:rsidRDefault="002C11EF" w:rsidP="00E53226">
      <w:pPr>
        <w:rPr>
          <w:rFonts w:ascii="Arial" w:hAnsi="Arial" w:cs="Arial"/>
        </w:rPr>
      </w:pPr>
    </w:p>
    <w:p w14:paraId="6AADB926" w14:textId="77777777" w:rsidR="001F418C" w:rsidRPr="00216C30" w:rsidRDefault="001F418C" w:rsidP="003E0C7F">
      <w:pPr>
        <w:pStyle w:val="Heading2"/>
        <w:rPr>
          <w:rFonts w:ascii="Arial" w:hAnsi="Arial" w:cs="Arial"/>
        </w:rPr>
      </w:pPr>
      <w:bookmarkStart w:id="11" w:name="_Toc514152860"/>
      <w:bookmarkStart w:id="12" w:name="_Toc39172699"/>
      <w:r>
        <w:rPr>
          <w:rFonts w:ascii="Arial" w:hAnsi="Arial"/>
        </w:rPr>
        <w:t>Risque de marché</w:t>
      </w:r>
      <w:bookmarkEnd w:id="11"/>
      <w:bookmarkEnd w:id="12"/>
    </w:p>
    <w:p w14:paraId="25A4DB8B" w14:textId="77777777" w:rsidR="002C11EF" w:rsidRPr="00216C30" w:rsidRDefault="002C11EF" w:rsidP="002C11EF">
      <w:pPr>
        <w:rPr>
          <w:rFonts w:ascii="Arial" w:hAnsi="Arial" w:cs="Arial"/>
        </w:rPr>
      </w:pPr>
      <w:r>
        <w:rPr>
          <w:rFonts w:ascii="Arial" w:hAnsi="Arial"/>
        </w:rPr>
        <w:t>Tel que mentionné ci-dessus, la Banque n’a pas de portefeuille de transactions et est dans l’ensemble faiblement exposée au risque de marché.</w:t>
      </w:r>
    </w:p>
    <w:p w14:paraId="40873D30" w14:textId="77777777" w:rsidR="002C11EF" w:rsidRPr="00216C30" w:rsidRDefault="002C11EF" w:rsidP="00FE495A">
      <w:pPr>
        <w:rPr>
          <w:rFonts w:ascii="Arial" w:hAnsi="Arial" w:cs="Arial"/>
        </w:rPr>
      </w:pPr>
    </w:p>
    <w:p w14:paraId="1F431E2D" w14:textId="77777777" w:rsidR="00CD0902" w:rsidRPr="00216C30" w:rsidRDefault="00CD0902" w:rsidP="00CD0902">
      <w:pPr>
        <w:pStyle w:val="Heading2"/>
        <w:rPr>
          <w:rFonts w:ascii="Arial" w:hAnsi="Arial" w:cs="Arial"/>
        </w:rPr>
      </w:pPr>
      <w:bookmarkStart w:id="13" w:name="_Toc514152861"/>
      <w:bookmarkStart w:id="14" w:name="_Toc39172700"/>
      <w:r>
        <w:rPr>
          <w:rFonts w:ascii="Arial" w:hAnsi="Arial"/>
        </w:rPr>
        <w:t>Risque lié aux actions</w:t>
      </w:r>
      <w:bookmarkEnd w:id="13"/>
      <w:bookmarkEnd w:id="14"/>
    </w:p>
    <w:p w14:paraId="6CE95F9D" w14:textId="77777777" w:rsidR="00CD0902" w:rsidRPr="00216C30" w:rsidRDefault="002540B7" w:rsidP="00CD0902">
      <w:pPr>
        <w:rPr>
          <w:rFonts w:ascii="Arial" w:hAnsi="Arial" w:cs="Arial"/>
        </w:rPr>
      </w:pPr>
      <w:r>
        <w:rPr>
          <w:rFonts w:ascii="Arial" w:hAnsi="Arial"/>
        </w:rPr>
        <w:t>La Banque n'est pas exposée au risque lié aux actions car elle n'a pas de portefeuille de transactions.</w:t>
      </w:r>
    </w:p>
    <w:p w14:paraId="5005FDE0" w14:textId="77777777" w:rsidR="00CD0902" w:rsidRPr="00216C30" w:rsidRDefault="00CD0902" w:rsidP="00FE495A">
      <w:pPr>
        <w:rPr>
          <w:rFonts w:ascii="Arial" w:hAnsi="Arial" w:cs="Arial"/>
        </w:rPr>
      </w:pPr>
    </w:p>
    <w:p w14:paraId="10E94D53" w14:textId="77777777" w:rsidR="00FE495A" w:rsidRPr="00216C30" w:rsidRDefault="00FE495A" w:rsidP="001B05EB">
      <w:pPr>
        <w:pStyle w:val="Heading2"/>
        <w:rPr>
          <w:rFonts w:ascii="Arial" w:hAnsi="Arial" w:cs="Arial"/>
        </w:rPr>
      </w:pPr>
      <w:bookmarkStart w:id="15" w:name="_Toc514152862"/>
      <w:bookmarkStart w:id="16" w:name="_Toc39172701"/>
      <w:r>
        <w:rPr>
          <w:rFonts w:ascii="Arial" w:hAnsi="Arial"/>
        </w:rPr>
        <w:t>Risque de taux d’intérêt</w:t>
      </w:r>
      <w:bookmarkEnd w:id="15"/>
      <w:bookmarkEnd w:id="16"/>
    </w:p>
    <w:p w14:paraId="61481F8C" w14:textId="77777777" w:rsidR="00E53226" w:rsidRPr="00216C30" w:rsidRDefault="001F418C" w:rsidP="00E53226">
      <w:pPr>
        <w:rPr>
          <w:rFonts w:ascii="Arial" w:hAnsi="Arial" w:cs="Arial"/>
        </w:rPr>
      </w:pPr>
      <w:r>
        <w:rPr>
          <w:rFonts w:ascii="Arial" w:hAnsi="Arial"/>
        </w:rPr>
        <w:t xml:space="preserve">La Banque est exposée au risque des taux d'intérêt par la disparité des modifications des taux de prêts consentis avec les cartes de crédit en comparaison avec le profil </w:t>
      </w:r>
      <w:r>
        <w:rPr>
          <w:rFonts w:ascii="Arial" w:hAnsi="Arial"/>
        </w:rPr>
        <w:lastRenderedPageBreak/>
        <w:t xml:space="preserve">de l’établissement gestionnaire des créances titrisées et des CPD à terme. ALCO surveille cette disparité, ainsi que les variations des taux du marché au Canada et fait un rapport à ce sujet au Conseil d'administration.  </w:t>
      </w:r>
    </w:p>
    <w:p w14:paraId="26EF391E" w14:textId="77777777" w:rsidR="001F418C" w:rsidRPr="00216C30" w:rsidRDefault="00E53226" w:rsidP="00E53226">
      <w:pPr>
        <w:rPr>
          <w:rFonts w:ascii="Arial" w:hAnsi="Arial" w:cs="Arial"/>
        </w:rPr>
      </w:pPr>
      <w:r>
        <w:rPr>
          <w:rFonts w:ascii="Arial" w:hAnsi="Arial"/>
        </w:rPr>
        <w:tab/>
      </w:r>
    </w:p>
    <w:p w14:paraId="426F0605" w14:textId="77777777" w:rsidR="00E53226" w:rsidRPr="00216C30" w:rsidRDefault="001F418C" w:rsidP="00E53226">
      <w:pPr>
        <w:rPr>
          <w:rFonts w:ascii="Arial" w:hAnsi="Arial" w:cs="Arial"/>
        </w:rPr>
      </w:pPr>
      <w:r>
        <w:rPr>
          <w:rFonts w:ascii="Arial" w:hAnsi="Arial"/>
        </w:rPr>
        <w:t>La gestion du risque des taux d'intérêt par rapport aux limites d'écart des taux d'intérêt est complétée par les activités de suivi de la sensibilité des capitaux financiers de la Banque et les responsabilités financières afin d'évaluer les changements des taux.</w:t>
      </w:r>
    </w:p>
    <w:p w14:paraId="3846CAA7" w14:textId="77777777" w:rsidR="00FE495A" w:rsidRPr="00216C30" w:rsidRDefault="00FE495A" w:rsidP="00E53226">
      <w:pPr>
        <w:rPr>
          <w:rFonts w:ascii="Arial" w:hAnsi="Arial" w:cs="Arial"/>
        </w:rPr>
      </w:pPr>
    </w:p>
    <w:p w14:paraId="0ED94489" w14:textId="77777777" w:rsidR="00FE495A" w:rsidRPr="00216C30" w:rsidRDefault="00FE495A" w:rsidP="00FE495A">
      <w:pPr>
        <w:rPr>
          <w:rFonts w:ascii="Arial" w:hAnsi="Arial" w:cs="Arial"/>
        </w:rPr>
      </w:pPr>
      <w:r>
        <w:rPr>
          <w:rFonts w:ascii="Arial" w:hAnsi="Arial"/>
        </w:rPr>
        <w:t>Les informations détaillées au sujet du risque de taux d’intérêt se trouvent à l’annexe C.</w:t>
      </w:r>
    </w:p>
    <w:p w14:paraId="4026E368" w14:textId="77777777" w:rsidR="00FE495A" w:rsidRPr="00E53226" w:rsidRDefault="00FE495A" w:rsidP="00E53226"/>
    <w:p w14:paraId="2EEEE9FE" w14:textId="77777777" w:rsidR="001F418C" w:rsidRPr="00216C30" w:rsidRDefault="001F418C" w:rsidP="00455BD2">
      <w:pPr>
        <w:pStyle w:val="Heading2"/>
        <w:rPr>
          <w:rFonts w:ascii="Arial" w:hAnsi="Arial" w:cs="Arial"/>
        </w:rPr>
      </w:pPr>
      <w:bookmarkStart w:id="17" w:name="_Toc514152863"/>
      <w:bookmarkStart w:id="18" w:name="_Toc39172702"/>
      <w:r>
        <w:rPr>
          <w:rFonts w:ascii="Arial" w:hAnsi="Arial"/>
        </w:rPr>
        <w:t>Risque de liquidité</w:t>
      </w:r>
      <w:bookmarkEnd w:id="17"/>
      <w:bookmarkEnd w:id="18"/>
    </w:p>
    <w:p w14:paraId="1E938D9E" w14:textId="77777777" w:rsidR="001F418C" w:rsidRPr="00216C30" w:rsidRDefault="001F418C" w:rsidP="00E53226">
      <w:pPr>
        <w:rPr>
          <w:rFonts w:ascii="Arial" w:hAnsi="Arial" w:cs="Arial"/>
        </w:rPr>
      </w:pPr>
      <w:r>
        <w:rPr>
          <w:rFonts w:ascii="Arial" w:hAnsi="Arial"/>
        </w:rPr>
        <w:t>Le risque de liquidité est celui pour la Banque de ne pouvoir respecter ses engagements et ses obligations lorsqu'elle devra y faire face ou la possibilité de pertes significatives au moment de respecter ses obligations.  La Banque gère son exposition aux liquidités à court terme et à long terme en s'assurant d'avoir une gouvernance adéquate, des directives et des procédures sont en place pour gérer l'argent, de façon quotidienne, hebdomadaire et mensuelle.  La planification à long terme et les outils de prévision sont utilisés pour surveiller les besoins des fonds à long terme.  Le CGAP surveille les besoins à court et à long terme.  Un plan de contingence de liquidités est aussi en place pour assurer que les besoins en fonds sont couverts durant une crise.</w:t>
      </w:r>
    </w:p>
    <w:p w14:paraId="1DAC9FCC" w14:textId="77777777" w:rsidR="00734917" w:rsidRPr="00216C30" w:rsidRDefault="00734917" w:rsidP="00E53226">
      <w:pPr>
        <w:rPr>
          <w:rFonts w:ascii="Arial" w:hAnsi="Arial" w:cs="Arial"/>
        </w:rPr>
      </w:pPr>
    </w:p>
    <w:p w14:paraId="027B0DD6" w14:textId="65396F43" w:rsidR="00734917" w:rsidRPr="00216C30" w:rsidRDefault="00734917" w:rsidP="00734917">
      <w:pPr>
        <w:pStyle w:val="Heading2"/>
        <w:rPr>
          <w:rFonts w:ascii="Arial" w:hAnsi="Arial" w:cs="Arial"/>
        </w:rPr>
      </w:pPr>
      <w:bookmarkStart w:id="19" w:name="_Toc514152864"/>
      <w:bookmarkStart w:id="20" w:name="_Toc39172703"/>
      <w:r>
        <w:rPr>
          <w:rFonts w:ascii="Arial" w:hAnsi="Arial"/>
        </w:rPr>
        <w:t>Risques opérationnel</w:t>
      </w:r>
      <w:bookmarkEnd w:id="19"/>
      <w:bookmarkEnd w:id="20"/>
      <w:r w:rsidR="00263E65">
        <w:rPr>
          <w:rFonts w:ascii="Arial" w:hAnsi="Arial"/>
        </w:rPr>
        <w:t>s</w:t>
      </w:r>
    </w:p>
    <w:p w14:paraId="45CE6B1C" w14:textId="3242422C" w:rsidR="00734917" w:rsidRPr="00216C30" w:rsidRDefault="00734917" w:rsidP="00734917">
      <w:pPr>
        <w:rPr>
          <w:rFonts w:ascii="Arial" w:hAnsi="Arial" w:cs="Arial"/>
        </w:rPr>
      </w:pPr>
      <w:r>
        <w:rPr>
          <w:rFonts w:ascii="Arial" w:hAnsi="Arial"/>
        </w:rPr>
        <w:t xml:space="preserve">Le risque opérationnel est le risque de pertes résultant de processus internes, de gens, de systèmes inadéquats ou inefficaces ou d’événements externes.  Cela exclut le risque stratégique et le risque d'atteinte à </w:t>
      </w:r>
      <w:r w:rsidR="00263E65">
        <w:rPr>
          <w:rFonts w:ascii="Arial" w:hAnsi="Arial"/>
        </w:rPr>
        <w:t>l</w:t>
      </w:r>
      <w:r>
        <w:rPr>
          <w:rFonts w:ascii="Arial" w:hAnsi="Arial"/>
        </w:rPr>
        <w:t>a réputation.  La Banque gère son exposition au risque opérationnel par la mise en place de méthodes d’évaluation, incluant des auto-évaluations face au risque opérationnel et par un suivi des pertes. La Banque utilise l'approche indicateur de base pour mesurer le risque opérationnel.</w:t>
      </w:r>
    </w:p>
    <w:p w14:paraId="1AEFFD00" w14:textId="77777777" w:rsidR="001F418C" w:rsidRPr="00216C30" w:rsidRDefault="003E0C7F" w:rsidP="003E0C7F">
      <w:pPr>
        <w:pStyle w:val="Heading1"/>
        <w:rPr>
          <w:rFonts w:ascii="Arial" w:hAnsi="Arial" w:cs="Arial"/>
        </w:rPr>
      </w:pPr>
      <w:bookmarkStart w:id="21" w:name="_Toc514152865"/>
      <w:bookmarkStart w:id="22" w:name="_Toc39172704"/>
      <w:r>
        <w:rPr>
          <w:rFonts w:ascii="Arial" w:hAnsi="Arial"/>
        </w:rPr>
        <w:t>GESTION DES CAPITAUX</w:t>
      </w:r>
      <w:bookmarkEnd w:id="21"/>
      <w:bookmarkEnd w:id="22"/>
    </w:p>
    <w:p w14:paraId="03C99BBB" w14:textId="77777777" w:rsidR="00455BD2" w:rsidRPr="00216C30" w:rsidRDefault="00455BD2" w:rsidP="00455BD2">
      <w:pPr>
        <w:rPr>
          <w:rFonts w:ascii="Arial" w:hAnsi="Arial" w:cs="Arial"/>
        </w:rPr>
      </w:pPr>
      <w:r>
        <w:rPr>
          <w:rFonts w:ascii="Arial" w:hAnsi="Arial"/>
        </w:rPr>
        <w:t>La politique de la Banque est de maintenir un programme solide de gestion des risques pour le capital afin d'assurer un capital adéquat pour soutenir le développement à venir et pour dépasser les exigences réglementaires externes.  L'impact du niveau de capital sur les gains des actionnaires est également surveillé et la Banque reconnaît le besoin de maintenir un équilibre entre les plus hauts gains possible et la sécurité venant avec une situation du capital sûre.</w:t>
      </w:r>
    </w:p>
    <w:p w14:paraId="68680749" w14:textId="77777777" w:rsidR="00C17351" w:rsidRPr="00216C30" w:rsidRDefault="00C17351" w:rsidP="00455BD2">
      <w:pPr>
        <w:rPr>
          <w:rFonts w:ascii="Arial" w:hAnsi="Arial" w:cs="Arial"/>
        </w:rPr>
      </w:pPr>
    </w:p>
    <w:p w14:paraId="79EC57C1" w14:textId="32F1508D" w:rsidR="00455BD2" w:rsidRPr="00216C30" w:rsidRDefault="00455BD2" w:rsidP="00455BD2">
      <w:pPr>
        <w:rPr>
          <w:rFonts w:ascii="Arial" w:hAnsi="Arial" w:cs="Arial"/>
        </w:rPr>
      </w:pPr>
      <w:r>
        <w:rPr>
          <w:rFonts w:ascii="Arial" w:hAnsi="Arial"/>
        </w:rPr>
        <w:t>La Banque est autorisée à émettre un nombre illimité d'actions privilégiées, sans valeur nominale ou facteur d'équivalence, pour considération illimitée.  Elles sont préférées aux actions ordinaires.  Il n'y avait pas d'action privilégiée en circulation en date du mardi, décembre 31, 2019.</w:t>
      </w:r>
    </w:p>
    <w:p w14:paraId="7AEF77F4" w14:textId="77777777" w:rsidR="00C17351" w:rsidRPr="00216C30" w:rsidRDefault="00C17351" w:rsidP="00455BD2">
      <w:pPr>
        <w:rPr>
          <w:rFonts w:ascii="Arial" w:hAnsi="Arial" w:cs="Arial"/>
        </w:rPr>
      </w:pPr>
    </w:p>
    <w:p w14:paraId="4FD9BAC2" w14:textId="6EABFE65" w:rsidR="00455BD2" w:rsidRPr="00216C30" w:rsidRDefault="00455BD2" w:rsidP="00455BD2">
      <w:pPr>
        <w:rPr>
          <w:rFonts w:ascii="Arial" w:hAnsi="Arial" w:cs="Arial"/>
        </w:rPr>
      </w:pPr>
      <w:r>
        <w:rPr>
          <w:rFonts w:ascii="Arial" w:hAnsi="Arial"/>
        </w:rPr>
        <w:t xml:space="preserve">La Banque est autorisée à émettre un nombre illimité d'actions ordinaires, sans valeur nominale ou facteur d'équivalence, pour considération illimitée.  En date du mardi, décembre 31, 2019, la Banque avait 231 753 000 actions émises et en circulation. </w:t>
      </w:r>
    </w:p>
    <w:p w14:paraId="6EDE8CB3" w14:textId="77777777" w:rsidR="00734917" w:rsidRPr="00216C30" w:rsidRDefault="00734917" w:rsidP="00455BD2">
      <w:pPr>
        <w:rPr>
          <w:rFonts w:ascii="Arial" w:hAnsi="Arial" w:cs="Arial"/>
        </w:rPr>
      </w:pPr>
    </w:p>
    <w:p w14:paraId="6AC8A244" w14:textId="77777777" w:rsidR="00455BD2" w:rsidRPr="00216C30" w:rsidRDefault="00455BD2" w:rsidP="00C17351">
      <w:pPr>
        <w:pStyle w:val="Heading2"/>
        <w:rPr>
          <w:rFonts w:ascii="Arial" w:hAnsi="Arial" w:cs="Arial"/>
        </w:rPr>
      </w:pPr>
      <w:bookmarkStart w:id="23" w:name="_Toc514152866"/>
      <w:bookmarkStart w:id="24" w:name="_Toc39172705"/>
      <w:r>
        <w:rPr>
          <w:rFonts w:ascii="Arial" w:hAnsi="Arial"/>
        </w:rPr>
        <w:t>Situation du capital réglementaire</w:t>
      </w:r>
      <w:bookmarkEnd w:id="23"/>
      <w:bookmarkEnd w:id="24"/>
    </w:p>
    <w:p w14:paraId="2E05F2A1" w14:textId="77777777" w:rsidR="003F02C8" w:rsidRPr="00216C30" w:rsidRDefault="003F02C8" w:rsidP="007F4B2D">
      <w:pPr>
        <w:rPr>
          <w:rFonts w:ascii="Arial" w:hAnsi="Arial" w:cs="Arial"/>
        </w:rPr>
      </w:pPr>
      <w:r>
        <w:rPr>
          <w:rFonts w:ascii="Arial" w:hAnsi="Arial"/>
        </w:rPr>
        <w:t xml:space="preserve">La Banque calcule son capital réglementaire selon les méthodologies suivantes : </w:t>
      </w:r>
    </w:p>
    <w:p w14:paraId="3539E1EE" w14:textId="77777777" w:rsidR="003F02C8" w:rsidRPr="00216C30" w:rsidRDefault="003F02C8" w:rsidP="007F4B2D">
      <w:pPr>
        <w:rPr>
          <w:rFonts w:ascii="Arial" w:hAnsi="Arial" w:cs="Arial"/>
        </w:rPr>
      </w:pPr>
      <w:r>
        <w:rPr>
          <w:rFonts w:ascii="Arial" w:hAnsi="Arial"/>
        </w:rPr>
        <w:t xml:space="preserve">La Banque gère son risque de crédit en utilisant l'approche standardisée et ses risques d'exploitation sont contrôlés en utilisant l'approche par indicateur de base. </w:t>
      </w:r>
    </w:p>
    <w:p w14:paraId="089D4054" w14:textId="77777777" w:rsidR="003F02C8" w:rsidRPr="00216C30" w:rsidRDefault="003F02C8" w:rsidP="007F4B2D">
      <w:pPr>
        <w:rPr>
          <w:rFonts w:ascii="Arial" w:hAnsi="Arial" w:cs="Arial"/>
        </w:rPr>
      </w:pPr>
    </w:p>
    <w:p w14:paraId="13B99A54" w14:textId="77777777" w:rsidR="00394707" w:rsidRPr="00216C30" w:rsidRDefault="001F418C" w:rsidP="007F4B2D">
      <w:pPr>
        <w:rPr>
          <w:rFonts w:ascii="Arial" w:hAnsi="Arial" w:cs="Arial"/>
        </w:rPr>
      </w:pPr>
      <w:r>
        <w:rPr>
          <w:rFonts w:ascii="Arial" w:hAnsi="Arial"/>
        </w:rPr>
        <w:t xml:space="preserve">Le capital réglementaire de la Banque consiste en capitaux de catégorie 1 et de catégorie 2.  Les capitaux de catégorie 1 incluent le capital social représenté par les actions ordinaires et les bénéfices non répartis. Les capitaux de catégorie 2 incluent les montants approuvés par le BSFI IFRS 9 de la Banque, jusqu’à concurrence de 1, 25 % des actifs pondérés en fonction du risque de crédit. </w:t>
      </w:r>
    </w:p>
    <w:p w14:paraId="52624AC0" w14:textId="77777777" w:rsidR="00394707" w:rsidRPr="00216C30" w:rsidRDefault="00394707" w:rsidP="007F4B2D">
      <w:pPr>
        <w:rPr>
          <w:rFonts w:ascii="Arial" w:hAnsi="Arial" w:cs="Arial"/>
        </w:rPr>
      </w:pPr>
    </w:p>
    <w:p w14:paraId="1FDA9778" w14:textId="77777777" w:rsidR="00A74AF1" w:rsidRPr="00216C30" w:rsidRDefault="00A74AF1" w:rsidP="007F4B2D">
      <w:pPr>
        <w:rPr>
          <w:rFonts w:ascii="Arial" w:hAnsi="Arial" w:cs="Arial"/>
        </w:rPr>
      </w:pPr>
      <w:r>
        <w:rPr>
          <w:rFonts w:ascii="Arial" w:hAnsi="Arial"/>
        </w:rPr>
        <w:t>La Banque s'est conformée à toutes les exigences internes et externes de capital imposé tout au long de l'année.  La direction utilise des ratios de fonds propres réglementaires afin de surveiller son capital de base.  Ces ratios de fonds demeurent des normes internationales pour mesurer la suffisance du capital. Les politiques de la Banque en ce qui a trait à la gestion du capital sont évaluées régulièrement par le Conseil.</w:t>
      </w:r>
    </w:p>
    <w:p w14:paraId="1FF1A9C4" w14:textId="77777777" w:rsidR="001F418C" w:rsidRPr="00216C30" w:rsidRDefault="001F418C" w:rsidP="007F4B2D">
      <w:pPr>
        <w:rPr>
          <w:rFonts w:ascii="Arial" w:hAnsi="Arial" w:cs="Arial"/>
        </w:rPr>
      </w:pPr>
    </w:p>
    <w:p w14:paraId="150A8F82" w14:textId="77777777" w:rsidR="001F418C" w:rsidRPr="00216C30" w:rsidRDefault="001F418C" w:rsidP="007F4B2D">
      <w:pPr>
        <w:rPr>
          <w:rFonts w:ascii="Arial" w:hAnsi="Arial" w:cs="Arial"/>
        </w:rPr>
      </w:pPr>
      <w:r>
        <w:rPr>
          <w:rFonts w:ascii="Arial" w:hAnsi="Arial"/>
        </w:rPr>
        <w:noBreakHyphen/>
        <w:t xml:space="preserve">Les opérations bancaires sont catégorisées comme appartenant soit au portefeuille de transactions ou au portefeuille d'investissement, et les fonds propres pondérés en fonction des risques sont déterminés en fonction d'exigences spécifiées qui cherchent à refléter les niveaux variables du risque liés aux actifs et l'exposition aux risques non reconnus dans l'état de la situation financière.  </w:t>
      </w:r>
    </w:p>
    <w:p w14:paraId="513036C2" w14:textId="77777777" w:rsidR="001F418C" w:rsidRPr="00216C30" w:rsidRDefault="001F418C" w:rsidP="007F4B2D">
      <w:pPr>
        <w:rPr>
          <w:rFonts w:ascii="Arial" w:hAnsi="Arial" w:cs="Arial"/>
        </w:rPr>
      </w:pPr>
    </w:p>
    <w:p w14:paraId="41B183B9" w14:textId="4FE6C398" w:rsidR="001F418C" w:rsidRPr="00216C30" w:rsidRDefault="00C17351" w:rsidP="007F4B2D">
      <w:pPr>
        <w:rPr>
          <w:rFonts w:ascii="Arial" w:hAnsi="Arial" w:cs="Arial"/>
        </w:rPr>
      </w:pPr>
      <w:r>
        <w:rPr>
          <w:rFonts w:ascii="Arial" w:hAnsi="Arial"/>
        </w:rPr>
        <w:t>La situation du capital réglementaire de la Banque selon Bâle III, en date du mardi, décembre 31, 2019, est détaillée dans l'annexe A.</w:t>
      </w:r>
    </w:p>
    <w:p w14:paraId="5217227A" w14:textId="77777777" w:rsidR="001F418C" w:rsidRPr="00216C30" w:rsidRDefault="001F418C" w:rsidP="00E53226">
      <w:pPr>
        <w:rPr>
          <w:rFonts w:ascii="Arial" w:hAnsi="Arial" w:cs="Arial"/>
        </w:rPr>
      </w:pPr>
    </w:p>
    <w:p w14:paraId="5C928D17" w14:textId="77777777" w:rsidR="001F418C" w:rsidRPr="00216C30" w:rsidRDefault="001F418C" w:rsidP="00E53226">
      <w:pPr>
        <w:rPr>
          <w:rFonts w:ascii="Arial" w:hAnsi="Arial" w:cs="Arial"/>
        </w:rPr>
      </w:pPr>
    </w:p>
    <w:p w14:paraId="7D3BA556" w14:textId="77777777" w:rsidR="00F231A4" w:rsidRPr="00216C30" w:rsidRDefault="009B46E4" w:rsidP="00D22C6D">
      <w:pPr>
        <w:pStyle w:val="Heading1"/>
        <w:tabs>
          <w:tab w:val="left" w:pos="90"/>
        </w:tabs>
        <w:ind w:left="90" w:hanging="90"/>
        <w:rPr>
          <w:rFonts w:ascii="Arial" w:hAnsi="Arial" w:cs="Arial"/>
        </w:rPr>
      </w:pPr>
      <w:r>
        <w:br w:type="page"/>
      </w:r>
      <w:bookmarkStart w:id="25" w:name="_Toc514152867"/>
      <w:bookmarkStart w:id="26" w:name="_Toc39172706"/>
      <w:r>
        <w:rPr>
          <w:rFonts w:ascii="Arial" w:hAnsi="Arial"/>
        </w:rPr>
        <w:lastRenderedPageBreak/>
        <w:t>ANNEXE A</w:t>
      </w:r>
      <w:bookmarkEnd w:id="25"/>
      <w:bookmarkEnd w:id="26"/>
    </w:p>
    <w:p w14:paraId="7442C95A" w14:textId="77777777" w:rsidR="00571888" w:rsidRPr="00216C30" w:rsidRDefault="00E532E2" w:rsidP="00663568">
      <w:pPr>
        <w:pStyle w:val="Heading2"/>
        <w:spacing w:after="0"/>
        <w:ind w:left="0"/>
        <w:contextualSpacing/>
        <w:jc w:val="left"/>
        <w:rPr>
          <w:rFonts w:ascii="Arial" w:hAnsi="Arial" w:cs="Arial"/>
          <w:i w:val="0"/>
        </w:rPr>
      </w:pPr>
      <w:bookmarkStart w:id="27" w:name="_Toc514152868"/>
      <w:bookmarkStart w:id="28" w:name="_Toc39172707"/>
      <w:r>
        <w:rPr>
          <w:rFonts w:ascii="Arial" w:hAnsi="Arial"/>
          <w:i w:val="0"/>
        </w:rPr>
        <w:t>COMMUNICATION D’INFORMATIONS COMMUNES BÂLE III</w:t>
      </w:r>
      <w:bookmarkEnd w:id="27"/>
      <w:bookmarkEnd w:id="28"/>
    </w:p>
    <w:p w14:paraId="41337E4D" w14:textId="5A06925C" w:rsidR="00F231A4" w:rsidRPr="00216C30" w:rsidRDefault="00337B06" w:rsidP="00663568">
      <w:pPr>
        <w:contextualSpacing/>
        <w:rPr>
          <w:rFonts w:ascii="Arial" w:hAnsi="Arial" w:cs="Arial"/>
          <w:b/>
        </w:rPr>
      </w:pPr>
      <w:r>
        <w:rPr>
          <w:rFonts w:ascii="Arial" w:hAnsi="Arial"/>
          <w:b/>
        </w:rPr>
        <w:t>En date du mardi, décembre 31, 2019</w:t>
      </w:r>
    </w:p>
    <w:p w14:paraId="6F812C82" w14:textId="77777777" w:rsidR="00F762BF" w:rsidRPr="00780C43" w:rsidRDefault="00F762BF" w:rsidP="00663568">
      <w:pPr>
        <w:contextualSpacing/>
        <w:rPr>
          <w:rFonts w:ascii="Arial" w:hAnsi="Arial" w:cs="Arial"/>
          <w:b/>
          <w:lang w:eastAsia="en-US"/>
        </w:rPr>
      </w:pPr>
    </w:p>
    <w:p w14:paraId="49955D94" w14:textId="77777777" w:rsidR="00663568" w:rsidRPr="00780C43" w:rsidRDefault="00663568" w:rsidP="00663568">
      <w:pPr>
        <w:rPr>
          <w:rFonts w:ascii="Arial" w:hAnsi="Arial" w:cs="Arial"/>
          <w:b/>
          <w:lang w:eastAsia="en-US"/>
        </w:rPr>
      </w:pPr>
    </w:p>
    <w:tbl>
      <w:tblPr>
        <w:tblW w:w="9990" w:type="dxa"/>
        <w:tblInd w:w="-432" w:type="dxa"/>
        <w:tblLayout w:type="fixed"/>
        <w:tblLook w:val="04A0" w:firstRow="1" w:lastRow="0" w:firstColumn="1" w:lastColumn="0" w:noHBand="0" w:noVBand="1"/>
      </w:tblPr>
      <w:tblGrid>
        <w:gridCol w:w="582"/>
        <w:gridCol w:w="7788"/>
        <w:gridCol w:w="1620"/>
      </w:tblGrid>
      <w:tr w:rsidR="00D22C6D" w:rsidRPr="00864AD4" w14:paraId="0DC53E95" w14:textId="77777777" w:rsidTr="007D0D03">
        <w:trPr>
          <w:trHeight w:val="266"/>
        </w:trPr>
        <w:tc>
          <w:tcPr>
            <w:tcW w:w="8370" w:type="dxa"/>
            <w:gridSpan w:val="2"/>
            <w:tcBorders>
              <w:top w:val="single" w:sz="4" w:space="0" w:color="000000"/>
              <w:left w:val="single" w:sz="4" w:space="0" w:color="000000"/>
              <w:bottom w:val="single" w:sz="4" w:space="0" w:color="000000"/>
              <w:right w:val="single" w:sz="4" w:space="0" w:color="000000"/>
            </w:tcBorders>
            <w:shd w:val="clear" w:color="000000" w:fill="FFFFFF"/>
            <w:hideMark/>
          </w:tcPr>
          <w:p w14:paraId="0233D567" w14:textId="77777777" w:rsidR="00D22C6D" w:rsidRPr="00864AD4" w:rsidRDefault="00D22C6D" w:rsidP="009323ED">
            <w:pPr>
              <w:spacing w:before="60"/>
              <w:jc w:val="left"/>
              <w:rPr>
                <w:rFonts w:ascii="Arial" w:hAnsi="Arial" w:cs="Arial"/>
                <w:b/>
                <w:bCs/>
                <w:color w:val="000000"/>
                <w:sz w:val="22"/>
                <w:szCs w:val="22"/>
              </w:rPr>
            </w:pPr>
            <w:r>
              <w:rPr>
                <w:rFonts w:ascii="Arial" w:hAnsi="Arial"/>
                <w:b/>
                <w:bCs/>
                <w:color w:val="000000"/>
                <w:sz w:val="22"/>
                <w:szCs w:val="22"/>
              </w:rPr>
              <w:t>Calculs du RNFPB</w:t>
            </w:r>
          </w:p>
        </w:tc>
        <w:tc>
          <w:tcPr>
            <w:tcW w:w="1620" w:type="dxa"/>
            <w:tcBorders>
              <w:top w:val="single" w:sz="4" w:space="0" w:color="000000"/>
              <w:left w:val="nil"/>
              <w:bottom w:val="single" w:sz="4" w:space="0" w:color="000000"/>
              <w:right w:val="single" w:sz="4" w:space="0" w:color="000000"/>
            </w:tcBorders>
            <w:shd w:val="clear" w:color="000000" w:fill="FFFFFF"/>
            <w:hideMark/>
          </w:tcPr>
          <w:p w14:paraId="198E93B5" w14:textId="77777777" w:rsidR="00D22C6D" w:rsidRPr="00216C30" w:rsidRDefault="00D22C6D" w:rsidP="005E1467">
            <w:pPr>
              <w:jc w:val="right"/>
              <w:rPr>
                <w:rFonts w:ascii="Arial" w:hAnsi="Arial" w:cs="Arial"/>
                <w:b/>
                <w:bCs/>
                <w:color w:val="000000"/>
                <w:sz w:val="22"/>
                <w:szCs w:val="22"/>
              </w:rPr>
            </w:pPr>
            <w:r>
              <w:rPr>
                <w:rFonts w:ascii="Arial" w:hAnsi="Arial"/>
                <w:b/>
                <w:bCs/>
                <w:color w:val="000000"/>
                <w:sz w:val="22"/>
                <w:szCs w:val="22"/>
              </w:rPr>
              <w:t>Valeur réelle</w:t>
            </w:r>
          </w:p>
        </w:tc>
      </w:tr>
      <w:tr w:rsidR="00366C75" w:rsidRPr="00864AD4" w14:paraId="1A9B8F85" w14:textId="77777777" w:rsidTr="007D0D03">
        <w:trPr>
          <w:trHeight w:val="399"/>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62FE8A9B" w14:textId="77777777" w:rsidR="00366C75" w:rsidRPr="00864AD4" w:rsidRDefault="00366C75" w:rsidP="00366C75">
            <w:pPr>
              <w:spacing w:before="60"/>
              <w:jc w:val="left"/>
              <w:rPr>
                <w:rFonts w:ascii="Arial" w:hAnsi="Arial" w:cs="Arial"/>
                <w:color w:val="000000"/>
                <w:sz w:val="16"/>
                <w:szCs w:val="16"/>
              </w:rPr>
            </w:pPr>
            <w:r>
              <w:rPr>
                <w:rFonts w:ascii="Arial" w:hAnsi="Arial"/>
                <w:color w:val="000000"/>
                <w:sz w:val="16"/>
                <w:szCs w:val="16"/>
              </w:rPr>
              <w:t>1</w:t>
            </w:r>
          </w:p>
        </w:tc>
        <w:tc>
          <w:tcPr>
            <w:tcW w:w="7788" w:type="dxa"/>
            <w:tcBorders>
              <w:top w:val="single" w:sz="4" w:space="0" w:color="000000"/>
              <w:left w:val="nil"/>
              <w:bottom w:val="single" w:sz="4" w:space="0" w:color="000000"/>
              <w:right w:val="single" w:sz="4" w:space="0" w:color="000000"/>
            </w:tcBorders>
            <w:shd w:val="clear" w:color="000000" w:fill="FFFFFF"/>
            <w:hideMark/>
          </w:tcPr>
          <w:p w14:paraId="5A184A27" w14:textId="77777777" w:rsidR="00366C75" w:rsidRPr="00864AD4" w:rsidRDefault="00366C75" w:rsidP="00366C75">
            <w:pPr>
              <w:spacing w:before="60"/>
              <w:jc w:val="left"/>
              <w:rPr>
                <w:rFonts w:ascii="Arial" w:hAnsi="Arial" w:cs="Arial"/>
                <w:color w:val="000000"/>
                <w:sz w:val="16"/>
                <w:szCs w:val="16"/>
              </w:rPr>
            </w:pPr>
            <w:r>
              <w:rPr>
                <w:rFonts w:ascii="Arial" w:hAnsi="Arial"/>
                <w:color w:val="000000"/>
                <w:sz w:val="16"/>
                <w:szCs w:val="16"/>
              </w:rPr>
              <w:t>Capital d'actions ordinaires émises directement (et équivalent pour les compagnies qui ne sont pas des sociétés par actions) plus les surplus d'actions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70E19EF2" w14:textId="77777777" w:rsidR="00366C75" w:rsidRPr="00216C30" w:rsidRDefault="00366C75" w:rsidP="00366C75">
            <w:pPr>
              <w:jc w:val="right"/>
              <w:rPr>
                <w:rFonts w:ascii="Arial" w:hAnsi="Arial" w:cs="Arial"/>
                <w:color w:val="000000"/>
                <w:sz w:val="20"/>
              </w:rPr>
            </w:pPr>
            <w:r>
              <w:rPr>
                <w:rFonts w:ascii="Arial" w:hAnsi="Arial"/>
                <w:color w:val="000000"/>
                <w:sz w:val="20"/>
                <w:szCs w:val="20"/>
              </w:rPr>
              <w:t>240 424</w:t>
            </w:r>
          </w:p>
        </w:tc>
      </w:tr>
      <w:tr w:rsidR="00366C75" w:rsidRPr="00864AD4" w14:paraId="6C919B32"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5CDDA07B" w14:textId="77777777" w:rsidR="00366C75" w:rsidRPr="00864AD4" w:rsidRDefault="00366C75" w:rsidP="00366C75">
            <w:pPr>
              <w:spacing w:before="60"/>
              <w:jc w:val="left"/>
              <w:rPr>
                <w:rFonts w:ascii="Arial" w:hAnsi="Arial" w:cs="Arial"/>
                <w:color w:val="000000"/>
                <w:sz w:val="16"/>
                <w:szCs w:val="16"/>
              </w:rPr>
            </w:pPr>
            <w:r>
              <w:rPr>
                <w:rFonts w:ascii="Arial" w:hAnsi="Arial"/>
                <w:color w:val="000000"/>
                <w:sz w:val="16"/>
                <w:szCs w:val="16"/>
              </w:rPr>
              <w:t>2</w:t>
            </w:r>
          </w:p>
        </w:tc>
        <w:tc>
          <w:tcPr>
            <w:tcW w:w="7788" w:type="dxa"/>
            <w:tcBorders>
              <w:top w:val="nil"/>
              <w:left w:val="nil"/>
              <w:bottom w:val="single" w:sz="4" w:space="0" w:color="000000"/>
              <w:right w:val="single" w:sz="4" w:space="0" w:color="000000"/>
            </w:tcBorders>
            <w:shd w:val="clear" w:color="000000" w:fill="FFFFFF"/>
            <w:hideMark/>
          </w:tcPr>
          <w:p w14:paraId="3D626D3E" w14:textId="77777777" w:rsidR="00366C75" w:rsidRPr="00424CC3" w:rsidRDefault="00366C75" w:rsidP="00366C75">
            <w:pPr>
              <w:spacing w:before="60"/>
              <w:jc w:val="left"/>
              <w:rPr>
                <w:rFonts w:ascii="Arial" w:hAnsi="Arial" w:cs="Arial"/>
                <w:color w:val="000000"/>
                <w:sz w:val="16"/>
                <w:szCs w:val="16"/>
              </w:rPr>
            </w:pPr>
            <w:r>
              <w:rPr>
                <w:rFonts w:ascii="Arial" w:hAnsi="Arial"/>
                <w:color w:val="000000"/>
                <w:sz w:val="16"/>
                <w:szCs w:val="16"/>
              </w:rPr>
              <w:t>Bénéfices non répartis</w:t>
            </w:r>
          </w:p>
        </w:tc>
        <w:tc>
          <w:tcPr>
            <w:tcW w:w="1620" w:type="dxa"/>
            <w:tcBorders>
              <w:top w:val="nil"/>
              <w:left w:val="nil"/>
              <w:bottom w:val="single" w:sz="4" w:space="0" w:color="000000"/>
              <w:right w:val="single" w:sz="4" w:space="0" w:color="000000"/>
            </w:tcBorders>
            <w:shd w:val="clear" w:color="000000" w:fill="FFFFFF"/>
            <w:hideMark/>
          </w:tcPr>
          <w:p w14:paraId="0405C635" w14:textId="5F616F94" w:rsidR="00366C75" w:rsidRPr="00216C30" w:rsidRDefault="00EC5139" w:rsidP="00366C75">
            <w:pPr>
              <w:jc w:val="right"/>
              <w:rPr>
                <w:rFonts w:ascii="Arial" w:hAnsi="Arial" w:cs="Arial"/>
                <w:color w:val="000000"/>
                <w:sz w:val="20"/>
                <w:szCs w:val="20"/>
              </w:rPr>
            </w:pPr>
            <w:r>
              <w:rPr>
                <w:rFonts w:ascii="Arial" w:hAnsi="Arial"/>
                <w:color w:val="000000"/>
                <w:sz w:val="20"/>
                <w:szCs w:val="20"/>
              </w:rPr>
              <w:t xml:space="preserve">25 316 </w:t>
            </w:r>
          </w:p>
        </w:tc>
      </w:tr>
      <w:tr w:rsidR="00BF06CD" w:rsidRPr="00864AD4" w14:paraId="6D5BD0F3"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28FBB2FE" w14:textId="77777777" w:rsidR="00BF06CD" w:rsidRPr="00864AD4" w:rsidRDefault="00BF06CD" w:rsidP="009323ED">
            <w:pPr>
              <w:spacing w:before="60"/>
              <w:jc w:val="left"/>
              <w:rPr>
                <w:rFonts w:ascii="Arial" w:hAnsi="Arial" w:cs="Arial"/>
                <w:color w:val="000000"/>
                <w:sz w:val="16"/>
                <w:szCs w:val="16"/>
              </w:rPr>
            </w:pPr>
            <w:r>
              <w:rPr>
                <w:rFonts w:ascii="Arial" w:hAnsi="Arial"/>
                <w:color w:val="000000"/>
                <w:sz w:val="16"/>
                <w:szCs w:val="16"/>
              </w:rPr>
              <w:t>3</w:t>
            </w:r>
          </w:p>
        </w:tc>
        <w:tc>
          <w:tcPr>
            <w:tcW w:w="7788" w:type="dxa"/>
            <w:tcBorders>
              <w:top w:val="nil"/>
              <w:left w:val="nil"/>
              <w:bottom w:val="single" w:sz="4" w:space="0" w:color="000000"/>
              <w:right w:val="single" w:sz="4" w:space="0" w:color="000000"/>
            </w:tcBorders>
            <w:shd w:val="clear" w:color="000000" w:fill="FFFFFF"/>
            <w:hideMark/>
          </w:tcPr>
          <w:p w14:paraId="5B0E8E6B" w14:textId="77777777" w:rsidR="00BF06CD" w:rsidRPr="00424CC3" w:rsidRDefault="00BF06CD" w:rsidP="009323ED">
            <w:pPr>
              <w:spacing w:before="60"/>
              <w:jc w:val="left"/>
              <w:rPr>
                <w:rFonts w:ascii="Arial" w:hAnsi="Arial" w:cs="Arial"/>
                <w:color w:val="000000"/>
                <w:sz w:val="16"/>
                <w:szCs w:val="16"/>
              </w:rPr>
            </w:pPr>
            <w:r>
              <w:rPr>
                <w:rFonts w:ascii="Arial" w:hAnsi="Arial"/>
                <w:color w:val="000000"/>
                <w:sz w:val="16"/>
                <w:szCs w:val="16"/>
              </w:rPr>
              <w:t>Cumul des autres éléments du résultat étendu (et autres réserves)</w:t>
            </w:r>
          </w:p>
        </w:tc>
        <w:tc>
          <w:tcPr>
            <w:tcW w:w="1620" w:type="dxa"/>
            <w:tcBorders>
              <w:top w:val="nil"/>
              <w:left w:val="nil"/>
              <w:bottom w:val="single" w:sz="4" w:space="0" w:color="000000"/>
              <w:right w:val="single" w:sz="4" w:space="0" w:color="000000"/>
            </w:tcBorders>
            <w:shd w:val="clear" w:color="000000" w:fill="FFFFFF"/>
            <w:hideMark/>
          </w:tcPr>
          <w:p w14:paraId="587A7809" w14:textId="77777777" w:rsidR="00BF06CD" w:rsidRPr="00216C30" w:rsidRDefault="00BF06CD">
            <w:pPr>
              <w:jc w:val="right"/>
              <w:rPr>
                <w:rFonts w:ascii="Arial" w:hAnsi="Arial" w:cs="Arial"/>
                <w:color w:val="000000"/>
                <w:sz w:val="20"/>
                <w:szCs w:val="20"/>
              </w:rPr>
            </w:pPr>
            <w:r>
              <w:rPr>
                <w:rFonts w:ascii="Arial" w:hAnsi="Arial"/>
                <w:color w:val="000000"/>
                <w:sz w:val="20"/>
                <w:szCs w:val="20"/>
              </w:rPr>
              <w:t> </w:t>
            </w:r>
          </w:p>
        </w:tc>
      </w:tr>
      <w:tr w:rsidR="00BF06CD" w:rsidRPr="00864AD4" w14:paraId="6D81E335" w14:textId="77777777" w:rsidTr="00F762BF">
        <w:trPr>
          <w:trHeight w:val="293"/>
        </w:trPr>
        <w:tc>
          <w:tcPr>
            <w:tcW w:w="582" w:type="dxa"/>
            <w:tcBorders>
              <w:top w:val="nil"/>
              <w:left w:val="single" w:sz="4" w:space="0" w:color="000000"/>
              <w:bottom w:val="single" w:sz="4" w:space="0" w:color="000000"/>
              <w:right w:val="single" w:sz="4" w:space="0" w:color="000000"/>
            </w:tcBorders>
            <w:shd w:val="clear" w:color="000000" w:fill="FFFFFF"/>
            <w:hideMark/>
          </w:tcPr>
          <w:p w14:paraId="766BF8C1" w14:textId="77777777" w:rsidR="00BF06CD" w:rsidRPr="00864AD4" w:rsidRDefault="00BF06CD" w:rsidP="009323ED">
            <w:pPr>
              <w:spacing w:before="60"/>
              <w:jc w:val="left"/>
              <w:rPr>
                <w:rFonts w:ascii="Arial" w:hAnsi="Arial" w:cs="Arial"/>
                <w:color w:val="000000"/>
                <w:sz w:val="16"/>
                <w:szCs w:val="16"/>
              </w:rPr>
            </w:pPr>
            <w:r>
              <w:rPr>
                <w:rFonts w:ascii="Arial" w:hAnsi="Arial"/>
                <w:color w:val="000000"/>
                <w:sz w:val="16"/>
                <w:szCs w:val="16"/>
              </w:rPr>
              <w:t>4</w:t>
            </w:r>
          </w:p>
        </w:tc>
        <w:tc>
          <w:tcPr>
            <w:tcW w:w="7788" w:type="dxa"/>
            <w:tcBorders>
              <w:top w:val="nil"/>
              <w:left w:val="nil"/>
              <w:bottom w:val="single" w:sz="4" w:space="0" w:color="000000"/>
              <w:right w:val="single" w:sz="4" w:space="0" w:color="000000"/>
            </w:tcBorders>
            <w:shd w:val="clear" w:color="000000" w:fill="FFFFFF"/>
            <w:hideMark/>
          </w:tcPr>
          <w:p w14:paraId="2732F555" w14:textId="574B6C57" w:rsidR="00BF06CD" w:rsidRPr="00424CC3" w:rsidRDefault="00BF06CD" w:rsidP="009323ED">
            <w:pPr>
              <w:spacing w:before="60"/>
              <w:jc w:val="left"/>
              <w:rPr>
                <w:rFonts w:ascii="Arial" w:hAnsi="Arial" w:cs="Arial"/>
                <w:i/>
                <w:iCs/>
                <w:color w:val="000000"/>
                <w:sz w:val="16"/>
                <w:szCs w:val="16"/>
              </w:rPr>
            </w:pPr>
            <w:r>
              <w:rPr>
                <w:rFonts w:ascii="Arial" w:hAnsi="Arial"/>
                <w:i/>
                <w:iCs/>
                <w:color w:val="000000"/>
                <w:sz w:val="16"/>
                <w:szCs w:val="16"/>
              </w:rPr>
              <w:t>Capital d'actions émises directement pouvant être graduellement supprimées de CET1 (s'applique uniquement aux compagnies qui ne sont pas des sociétés par actions)</w:t>
            </w:r>
          </w:p>
        </w:tc>
        <w:tc>
          <w:tcPr>
            <w:tcW w:w="1620" w:type="dxa"/>
            <w:tcBorders>
              <w:top w:val="nil"/>
              <w:left w:val="nil"/>
              <w:bottom w:val="single" w:sz="4" w:space="0" w:color="000000"/>
              <w:right w:val="single" w:sz="4" w:space="0" w:color="000000"/>
            </w:tcBorders>
            <w:shd w:val="clear" w:color="000000" w:fill="FFFFFF"/>
            <w:hideMark/>
          </w:tcPr>
          <w:p w14:paraId="68FA8309" w14:textId="77777777" w:rsidR="00BF06CD" w:rsidRPr="00216C30" w:rsidRDefault="00BF06CD">
            <w:pPr>
              <w:jc w:val="right"/>
              <w:rPr>
                <w:rFonts w:ascii="Arial" w:hAnsi="Arial" w:cs="Arial"/>
                <w:color w:val="000000"/>
                <w:sz w:val="20"/>
                <w:szCs w:val="20"/>
              </w:rPr>
            </w:pPr>
            <w:r>
              <w:rPr>
                <w:rFonts w:ascii="Arial" w:hAnsi="Arial"/>
                <w:color w:val="000000"/>
                <w:sz w:val="20"/>
                <w:szCs w:val="20"/>
              </w:rPr>
              <w:t> </w:t>
            </w:r>
          </w:p>
        </w:tc>
      </w:tr>
      <w:tr w:rsidR="00BF06CD" w:rsidRPr="00864AD4" w14:paraId="4BDBD210" w14:textId="77777777" w:rsidTr="00F762BF">
        <w:trPr>
          <w:trHeight w:val="293"/>
        </w:trPr>
        <w:tc>
          <w:tcPr>
            <w:tcW w:w="582" w:type="dxa"/>
            <w:tcBorders>
              <w:top w:val="nil"/>
              <w:left w:val="single" w:sz="4" w:space="0" w:color="000000"/>
              <w:bottom w:val="single" w:sz="4" w:space="0" w:color="000000"/>
              <w:right w:val="single" w:sz="4" w:space="0" w:color="000000"/>
            </w:tcBorders>
            <w:shd w:val="clear" w:color="000000" w:fill="FFFFFF"/>
            <w:hideMark/>
          </w:tcPr>
          <w:p w14:paraId="2AF65A85" w14:textId="77777777" w:rsidR="00BF06CD" w:rsidRPr="00864AD4" w:rsidRDefault="00BF06CD" w:rsidP="009323ED">
            <w:pPr>
              <w:spacing w:before="60"/>
              <w:jc w:val="left"/>
              <w:rPr>
                <w:rFonts w:ascii="Arial" w:hAnsi="Arial" w:cs="Arial"/>
                <w:color w:val="000000"/>
                <w:sz w:val="16"/>
                <w:szCs w:val="16"/>
              </w:rPr>
            </w:pPr>
            <w:r>
              <w:rPr>
                <w:rFonts w:ascii="Arial" w:hAnsi="Arial"/>
                <w:color w:val="000000"/>
                <w:sz w:val="16"/>
                <w:szCs w:val="16"/>
              </w:rPr>
              <w:t>5</w:t>
            </w:r>
          </w:p>
        </w:tc>
        <w:tc>
          <w:tcPr>
            <w:tcW w:w="7788" w:type="dxa"/>
            <w:tcBorders>
              <w:top w:val="single" w:sz="4" w:space="0" w:color="000000"/>
              <w:left w:val="nil"/>
              <w:bottom w:val="single" w:sz="4" w:space="0" w:color="000000"/>
              <w:right w:val="single" w:sz="4" w:space="0" w:color="000000"/>
            </w:tcBorders>
            <w:shd w:val="clear" w:color="000000" w:fill="FFFFFF"/>
            <w:hideMark/>
          </w:tcPr>
          <w:p w14:paraId="47FB7A4E" w14:textId="77777777" w:rsidR="00BF06CD" w:rsidRPr="00864AD4" w:rsidRDefault="00BF06CD" w:rsidP="009323ED">
            <w:pPr>
              <w:spacing w:before="60"/>
              <w:jc w:val="left"/>
              <w:rPr>
                <w:rFonts w:ascii="Arial" w:hAnsi="Arial" w:cs="Arial"/>
                <w:color w:val="000000"/>
                <w:sz w:val="16"/>
                <w:szCs w:val="16"/>
              </w:rPr>
            </w:pPr>
            <w:r>
              <w:rPr>
                <w:rFonts w:ascii="Arial" w:hAnsi="Arial"/>
                <w:color w:val="000000"/>
                <w:sz w:val="16"/>
                <w:szCs w:val="16"/>
              </w:rPr>
              <w:t>Capital-actions ordinaires émises par les filiales et détenues par des tiers (montant permis dans le groupe CET1)</w:t>
            </w:r>
          </w:p>
        </w:tc>
        <w:tc>
          <w:tcPr>
            <w:tcW w:w="1620" w:type="dxa"/>
            <w:tcBorders>
              <w:top w:val="single" w:sz="4" w:space="0" w:color="000000"/>
              <w:left w:val="nil"/>
              <w:bottom w:val="single" w:sz="4" w:space="0" w:color="000000"/>
              <w:right w:val="single" w:sz="4" w:space="0" w:color="000000"/>
            </w:tcBorders>
            <w:shd w:val="clear" w:color="000000" w:fill="FFFFFF"/>
            <w:hideMark/>
          </w:tcPr>
          <w:p w14:paraId="158FE1F3" w14:textId="77777777" w:rsidR="00BF06CD" w:rsidRPr="00216C30" w:rsidRDefault="00BF06CD">
            <w:pPr>
              <w:jc w:val="right"/>
              <w:rPr>
                <w:rFonts w:ascii="Arial" w:hAnsi="Arial" w:cs="Arial"/>
                <w:color w:val="000000"/>
                <w:sz w:val="20"/>
                <w:szCs w:val="20"/>
              </w:rPr>
            </w:pPr>
            <w:r>
              <w:rPr>
                <w:rFonts w:ascii="Arial" w:hAnsi="Arial"/>
                <w:color w:val="000000"/>
                <w:sz w:val="20"/>
                <w:szCs w:val="20"/>
              </w:rPr>
              <w:t> </w:t>
            </w:r>
          </w:p>
        </w:tc>
      </w:tr>
      <w:tr w:rsidR="00BF06CD" w:rsidRPr="00864AD4" w14:paraId="5393F676" w14:textId="77777777" w:rsidTr="00F762BF">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4B167EC9" w14:textId="77777777" w:rsidR="00BF06CD" w:rsidRPr="00864AD4" w:rsidRDefault="00BF06CD" w:rsidP="009323ED">
            <w:pPr>
              <w:spacing w:before="60"/>
              <w:jc w:val="left"/>
              <w:rPr>
                <w:rFonts w:ascii="Arial" w:hAnsi="Arial" w:cs="Arial"/>
                <w:color w:val="000000"/>
                <w:sz w:val="16"/>
                <w:szCs w:val="16"/>
              </w:rPr>
            </w:pPr>
            <w:r>
              <w:rPr>
                <w:rFonts w:ascii="Arial" w:hAnsi="Arial"/>
                <w:color w:val="000000"/>
                <w:sz w:val="16"/>
                <w:szCs w:val="16"/>
              </w:rPr>
              <w:t>6</w:t>
            </w:r>
          </w:p>
        </w:tc>
        <w:tc>
          <w:tcPr>
            <w:tcW w:w="7788" w:type="dxa"/>
            <w:tcBorders>
              <w:top w:val="single" w:sz="4" w:space="0" w:color="000000"/>
              <w:left w:val="nil"/>
              <w:bottom w:val="single" w:sz="4" w:space="0" w:color="000000"/>
              <w:right w:val="single" w:sz="4" w:space="0" w:color="000000"/>
            </w:tcBorders>
            <w:shd w:val="clear" w:color="000000" w:fill="D9D9D9"/>
            <w:hideMark/>
          </w:tcPr>
          <w:p w14:paraId="390AD018" w14:textId="77777777" w:rsidR="00BF06CD" w:rsidRPr="00424CC3" w:rsidRDefault="00BF06CD" w:rsidP="009323ED">
            <w:pPr>
              <w:spacing w:before="60"/>
              <w:jc w:val="left"/>
              <w:rPr>
                <w:rFonts w:ascii="Arial" w:hAnsi="Arial" w:cs="Arial"/>
                <w:b/>
                <w:bCs/>
                <w:color w:val="000000"/>
                <w:sz w:val="16"/>
                <w:szCs w:val="16"/>
              </w:rPr>
            </w:pPr>
            <w:r>
              <w:rPr>
                <w:rFonts w:ascii="Arial" w:hAnsi="Arial"/>
                <w:b/>
                <w:bCs/>
                <w:color w:val="000000"/>
                <w:sz w:val="16"/>
                <w:szCs w:val="16"/>
              </w:rPr>
              <w:t>Capital-actions ordinaires catégorie 1, capital avant les ajustements réglementaires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6EDDF1D9" w14:textId="38026CE3" w:rsidR="00BF06CD" w:rsidRPr="00216C30" w:rsidRDefault="00540A71" w:rsidP="00366C75">
            <w:pPr>
              <w:jc w:val="right"/>
              <w:rPr>
                <w:rFonts w:ascii="Arial" w:hAnsi="Arial" w:cs="Arial"/>
                <w:color w:val="000000"/>
                <w:sz w:val="20"/>
              </w:rPr>
            </w:pPr>
            <w:r>
              <w:rPr>
                <w:rFonts w:ascii="Arial" w:hAnsi="Arial"/>
                <w:color w:val="000000"/>
                <w:sz w:val="20"/>
                <w:szCs w:val="20"/>
              </w:rPr>
              <w:t>265 740</w:t>
            </w:r>
          </w:p>
        </w:tc>
      </w:tr>
      <w:tr w:rsidR="00DA343E" w:rsidRPr="00864AD4" w14:paraId="09351F34"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6E62E49B" w14:textId="77777777" w:rsidR="00DA343E" w:rsidRPr="00864AD4" w:rsidRDefault="00DA343E" w:rsidP="009323ED">
            <w:pPr>
              <w:spacing w:before="60"/>
              <w:jc w:val="left"/>
              <w:rPr>
                <w:rFonts w:ascii="Arial" w:hAnsi="Arial" w:cs="Arial"/>
                <w:color w:val="000000"/>
                <w:sz w:val="16"/>
                <w:szCs w:val="16"/>
              </w:rPr>
            </w:pPr>
            <w:r>
              <w:rPr>
                <w:rFonts w:ascii="Arial" w:hAnsi="Arial"/>
                <w:color w:val="000000"/>
                <w:sz w:val="16"/>
                <w:szCs w:val="16"/>
              </w:rPr>
              <w:t>28</w:t>
            </w:r>
          </w:p>
        </w:tc>
        <w:tc>
          <w:tcPr>
            <w:tcW w:w="7788" w:type="dxa"/>
            <w:tcBorders>
              <w:top w:val="single" w:sz="4" w:space="0" w:color="000000"/>
              <w:left w:val="nil"/>
              <w:bottom w:val="single" w:sz="4" w:space="0" w:color="000000"/>
              <w:right w:val="single" w:sz="4" w:space="0" w:color="000000"/>
            </w:tcBorders>
            <w:shd w:val="clear" w:color="000000" w:fill="D9D9D9"/>
            <w:hideMark/>
          </w:tcPr>
          <w:p w14:paraId="62E9030C" w14:textId="77777777" w:rsidR="00DA343E" w:rsidRPr="00424CC3" w:rsidRDefault="00DA343E" w:rsidP="009323ED">
            <w:pPr>
              <w:spacing w:before="60"/>
              <w:jc w:val="left"/>
              <w:rPr>
                <w:rFonts w:ascii="Arial" w:hAnsi="Arial" w:cs="Arial"/>
                <w:color w:val="000000"/>
                <w:sz w:val="16"/>
                <w:szCs w:val="16"/>
              </w:rPr>
            </w:pPr>
            <w:r>
              <w:rPr>
                <w:rFonts w:ascii="Arial" w:hAnsi="Arial"/>
                <w:color w:val="000000"/>
                <w:sz w:val="16"/>
                <w:szCs w:val="16"/>
              </w:rPr>
              <w:t xml:space="preserve">Total des ajustements réglementaires apportés au </w:t>
            </w:r>
            <w:proofErr w:type="spellStart"/>
            <w:r>
              <w:rPr>
                <w:rFonts w:ascii="Arial" w:hAnsi="Arial"/>
                <w:color w:val="000000"/>
                <w:sz w:val="16"/>
                <w:szCs w:val="16"/>
              </w:rPr>
              <w:t>capital actions</w:t>
            </w:r>
            <w:proofErr w:type="spellEnd"/>
            <w:r>
              <w:rPr>
                <w:rFonts w:ascii="Arial" w:hAnsi="Arial"/>
                <w:color w:val="000000"/>
                <w:sz w:val="16"/>
                <w:szCs w:val="16"/>
              </w:rPr>
              <w:t>-ordinaires catégorie 1</w:t>
            </w:r>
          </w:p>
        </w:tc>
        <w:tc>
          <w:tcPr>
            <w:tcW w:w="1620" w:type="dxa"/>
            <w:tcBorders>
              <w:top w:val="single" w:sz="4" w:space="0" w:color="000000"/>
              <w:left w:val="nil"/>
              <w:bottom w:val="single" w:sz="4" w:space="0" w:color="000000"/>
              <w:right w:val="single" w:sz="4" w:space="0" w:color="000000"/>
            </w:tcBorders>
            <w:shd w:val="clear" w:color="000000" w:fill="FFFFFF"/>
            <w:hideMark/>
          </w:tcPr>
          <w:p w14:paraId="2026BD33" w14:textId="50181E6D" w:rsidR="00DA343E" w:rsidRPr="00216C30" w:rsidRDefault="00DA343E">
            <w:pPr>
              <w:jc w:val="right"/>
              <w:rPr>
                <w:rFonts w:ascii="Arial" w:hAnsi="Arial" w:cs="Arial"/>
                <w:color w:val="000000"/>
                <w:sz w:val="20"/>
                <w:szCs w:val="20"/>
              </w:rPr>
            </w:pPr>
            <w:r>
              <w:rPr>
                <w:rFonts w:ascii="Arial" w:hAnsi="Arial"/>
                <w:color w:val="000000"/>
                <w:sz w:val="20"/>
                <w:szCs w:val="20"/>
              </w:rPr>
              <w:t>(3 906)</w:t>
            </w:r>
          </w:p>
        </w:tc>
      </w:tr>
      <w:tr w:rsidR="00DA343E" w:rsidRPr="00864AD4" w14:paraId="1FD49139"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55FAC0EA" w14:textId="77777777" w:rsidR="00DA343E" w:rsidRPr="00864AD4" w:rsidRDefault="00DA343E" w:rsidP="009323ED">
            <w:pPr>
              <w:spacing w:before="60"/>
              <w:jc w:val="left"/>
              <w:rPr>
                <w:rFonts w:ascii="Arial" w:hAnsi="Arial" w:cs="Arial"/>
                <w:color w:val="000000"/>
                <w:sz w:val="16"/>
                <w:szCs w:val="16"/>
              </w:rPr>
            </w:pPr>
            <w:r>
              <w:rPr>
                <w:rFonts w:ascii="Arial" w:hAnsi="Arial"/>
                <w:color w:val="000000"/>
                <w:sz w:val="16"/>
                <w:szCs w:val="16"/>
              </w:rPr>
              <w:t>29</w:t>
            </w:r>
          </w:p>
        </w:tc>
        <w:tc>
          <w:tcPr>
            <w:tcW w:w="7788" w:type="dxa"/>
            <w:tcBorders>
              <w:top w:val="single" w:sz="4" w:space="0" w:color="000000"/>
              <w:left w:val="nil"/>
              <w:bottom w:val="single" w:sz="4" w:space="0" w:color="000000"/>
              <w:right w:val="single" w:sz="4" w:space="0" w:color="000000"/>
            </w:tcBorders>
            <w:shd w:val="clear" w:color="000000" w:fill="D9D9D9"/>
            <w:hideMark/>
          </w:tcPr>
          <w:p w14:paraId="0FC7C599" w14:textId="77777777" w:rsidR="00DA343E" w:rsidRPr="00424CC3" w:rsidRDefault="00DA343E" w:rsidP="009323ED">
            <w:pPr>
              <w:spacing w:before="60"/>
              <w:jc w:val="left"/>
              <w:rPr>
                <w:rFonts w:ascii="Arial" w:hAnsi="Arial" w:cs="Arial"/>
                <w:b/>
                <w:bCs/>
                <w:color w:val="000000"/>
                <w:sz w:val="16"/>
                <w:szCs w:val="16"/>
              </w:rPr>
            </w:pPr>
            <w:proofErr w:type="spellStart"/>
            <w:r>
              <w:rPr>
                <w:rFonts w:ascii="Arial" w:hAnsi="Arial"/>
                <w:b/>
                <w:bCs/>
                <w:color w:val="000000"/>
                <w:sz w:val="16"/>
                <w:szCs w:val="16"/>
              </w:rPr>
              <w:t>Capital actions</w:t>
            </w:r>
            <w:proofErr w:type="spellEnd"/>
            <w:r>
              <w:rPr>
                <w:rFonts w:ascii="Arial" w:hAnsi="Arial"/>
                <w:b/>
                <w:bCs/>
                <w:color w:val="000000"/>
                <w:sz w:val="16"/>
                <w:szCs w:val="16"/>
              </w:rPr>
              <w:t>-ordinaires catégorie 1 (CET1) : instruments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7DF44A55" w14:textId="5B7F8A1A" w:rsidR="00DA343E" w:rsidRPr="00216C30" w:rsidRDefault="00DA343E">
            <w:pPr>
              <w:jc w:val="right"/>
              <w:rPr>
                <w:rFonts w:ascii="Arial" w:hAnsi="Arial" w:cs="Arial"/>
                <w:b/>
                <w:color w:val="000000"/>
                <w:sz w:val="20"/>
                <w:szCs w:val="20"/>
              </w:rPr>
            </w:pPr>
            <w:r>
              <w:rPr>
                <w:rFonts w:ascii="Arial" w:hAnsi="Arial"/>
                <w:b/>
                <w:color w:val="000000"/>
                <w:sz w:val="20"/>
                <w:szCs w:val="20"/>
              </w:rPr>
              <w:t>261 834</w:t>
            </w:r>
          </w:p>
        </w:tc>
      </w:tr>
      <w:tr w:rsidR="00D22C6D" w:rsidRPr="00864AD4" w14:paraId="4A689EFC"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38D3F260"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30</w:t>
            </w:r>
          </w:p>
        </w:tc>
        <w:tc>
          <w:tcPr>
            <w:tcW w:w="7788" w:type="dxa"/>
            <w:tcBorders>
              <w:top w:val="single" w:sz="4" w:space="0" w:color="000000"/>
              <w:left w:val="nil"/>
              <w:bottom w:val="single" w:sz="4" w:space="0" w:color="000000"/>
              <w:right w:val="single" w:sz="4" w:space="0" w:color="000000"/>
            </w:tcBorders>
            <w:shd w:val="clear" w:color="000000" w:fill="FFFFFF"/>
            <w:hideMark/>
          </w:tcPr>
          <w:p w14:paraId="36062F55" w14:textId="77777777" w:rsidR="00D22C6D" w:rsidRPr="00424CC3" w:rsidRDefault="00D22C6D" w:rsidP="009323ED">
            <w:pPr>
              <w:spacing w:before="60"/>
              <w:jc w:val="left"/>
              <w:rPr>
                <w:rFonts w:ascii="Arial" w:hAnsi="Arial" w:cs="Arial"/>
                <w:color w:val="000000"/>
                <w:sz w:val="16"/>
                <w:szCs w:val="16"/>
              </w:rPr>
            </w:pPr>
            <w:r>
              <w:rPr>
                <w:rFonts w:ascii="Arial" w:hAnsi="Arial"/>
                <w:color w:val="000000"/>
                <w:sz w:val="16"/>
                <w:szCs w:val="16"/>
              </w:rPr>
              <w:t>Instruments supplémentaires admissibles catégorie 1 émis directement plus les surplus d'actions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26529D48" w14:textId="77777777" w:rsidR="00D22C6D" w:rsidRPr="00216C30" w:rsidRDefault="00D22C6D" w:rsidP="005E1467">
            <w:pPr>
              <w:jc w:val="right"/>
              <w:rPr>
                <w:rFonts w:ascii="Arial" w:hAnsi="Arial" w:cs="Arial"/>
                <w:sz w:val="20"/>
                <w:szCs w:val="20"/>
              </w:rPr>
            </w:pPr>
            <w:r>
              <w:rPr>
                <w:rFonts w:ascii="Arial" w:hAnsi="Arial"/>
                <w:sz w:val="20"/>
                <w:szCs w:val="20"/>
              </w:rPr>
              <w:t> </w:t>
            </w:r>
          </w:p>
        </w:tc>
      </w:tr>
      <w:tr w:rsidR="00D22C6D" w:rsidRPr="00864AD4" w14:paraId="2D46D1E1"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2AA7FC7E"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31</w:t>
            </w:r>
          </w:p>
        </w:tc>
        <w:tc>
          <w:tcPr>
            <w:tcW w:w="7788" w:type="dxa"/>
            <w:tcBorders>
              <w:top w:val="nil"/>
              <w:left w:val="nil"/>
              <w:bottom w:val="single" w:sz="4" w:space="0" w:color="000000"/>
              <w:right w:val="single" w:sz="4" w:space="0" w:color="000000"/>
            </w:tcBorders>
            <w:shd w:val="clear" w:color="000000" w:fill="FFFFFF"/>
            <w:hideMark/>
          </w:tcPr>
          <w:p w14:paraId="098E4A8A" w14:textId="77777777" w:rsidR="00D22C6D" w:rsidRPr="00424CC3" w:rsidRDefault="00D22C6D" w:rsidP="009323ED">
            <w:pPr>
              <w:spacing w:before="60"/>
              <w:jc w:val="left"/>
              <w:rPr>
                <w:rFonts w:ascii="Arial" w:hAnsi="Arial" w:cs="Arial"/>
                <w:color w:val="000000"/>
                <w:sz w:val="16"/>
                <w:szCs w:val="16"/>
              </w:rPr>
            </w:pPr>
            <w:proofErr w:type="gramStart"/>
            <w:r>
              <w:rPr>
                <w:rFonts w:ascii="Arial" w:hAnsi="Arial"/>
                <w:color w:val="000000"/>
                <w:sz w:val="16"/>
                <w:szCs w:val="16"/>
              </w:rPr>
              <w:t>dont</w:t>
            </w:r>
            <w:proofErr w:type="gramEnd"/>
            <w:r>
              <w:rPr>
                <w:rFonts w:ascii="Arial" w:hAnsi="Arial"/>
                <w:color w:val="000000"/>
                <w:sz w:val="16"/>
                <w:szCs w:val="16"/>
              </w:rPr>
              <w:t xml:space="preserve"> : des instruments classés comme étant des actions ordinaires conformément aux normes comptables applicables</w:t>
            </w:r>
          </w:p>
        </w:tc>
        <w:tc>
          <w:tcPr>
            <w:tcW w:w="1620" w:type="dxa"/>
            <w:tcBorders>
              <w:top w:val="nil"/>
              <w:left w:val="nil"/>
              <w:bottom w:val="single" w:sz="4" w:space="0" w:color="000000"/>
              <w:right w:val="single" w:sz="4" w:space="0" w:color="000000"/>
            </w:tcBorders>
            <w:shd w:val="clear" w:color="000000" w:fill="FFFFFF"/>
            <w:hideMark/>
          </w:tcPr>
          <w:p w14:paraId="32CE3EAA" w14:textId="77777777" w:rsidR="00D22C6D" w:rsidRPr="00216C30" w:rsidRDefault="00D22C6D" w:rsidP="005E1467">
            <w:pPr>
              <w:jc w:val="right"/>
              <w:rPr>
                <w:rFonts w:ascii="Arial" w:hAnsi="Arial" w:cs="Arial"/>
                <w:sz w:val="20"/>
                <w:szCs w:val="20"/>
              </w:rPr>
            </w:pPr>
            <w:r>
              <w:rPr>
                <w:rFonts w:ascii="Arial" w:hAnsi="Arial"/>
                <w:sz w:val="20"/>
                <w:szCs w:val="20"/>
              </w:rPr>
              <w:t> </w:t>
            </w:r>
          </w:p>
        </w:tc>
      </w:tr>
      <w:tr w:rsidR="00D22C6D" w:rsidRPr="00864AD4" w14:paraId="45A1DC9A"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10EE8194"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32</w:t>
            </w:r>
          </w:p>
        </w:tc>
        <w:tc>
          <w:tcPr>
            <w:tcW w:w="7788" w:type="dxa"/>
            <w:tcBorders>
              <w:top w:val="nil"/>
              <w:left w:val="nil"/>
              <w:bottom w:val="single" w:sz="4" w:space="0" w:color="000000"/>
              <w:right w:val="single" w:sz="4" w:space="0" w:color="000000"/>
            </w:tcBorders>
            <w:shd w:val="clear" w:color="000000" w:fill="FFFFFF"/>
            <w:hideMark/>
          </w:tcPr>
          <w:p w14:paraId="28EDC044" w14:textId="77777777" w:rsidR="00D22C6D" w:rsidRPr="00424CC3" w:rsidRDefault="00D22C6D" w:rsidP="009323ED">
            <w:pPr>
              <w:spacing w:before="60"/>
              <w:jc w:val="left"/>
              <w:rPr>
                <w:rFonts w:ascii="Arial" w:hAnsi="Arial" w:cs="Arial"/>
                <w:color w:val="000000"/>
                <w:sz w:val="16"/>
                <w:szCs w:val="16"/>
              </w:rPr>
            </w:pPr>
            <w:proofErr w:type="gramStart"/>
            <w:r>
              <w:rPr>
                <w:rFonts w:ascii="Arial" w:hAnsi="Arial"/>
                <w:color w:val="000000"/>
                <w:sz w:val="16"/>
                <w:szCs w:val="16"/>
              </w:rPr>
              <w:t>dont</w:t>
            </w:r>
            <w:proofErr w:type="gramEnd"/>
            <w:r>
              <w:rPr>
                <w:rFonts w:ascii="Arial" w:hAnsi="Arial"/>
                <w:color w:val="000000"/>
                <w:sz w:val="16"/>
                <w:szCs w:val="16"/>
              </w:rPr>
              <w:t xml:space="preserve"> : des instruments classés comme étant des risques conformément aux normes comptables applicables</w:t>
            </w:r>
          </w:p>
        </w:tc>
        <w:tc>
          <w:tcPr>
            <w:tcW w:w="1620" w:type="dxa"/>
            <w:tcBorders>
              <w:top w:val="nil"/>
              <w:left w:val="nil"/>
              <w:bottom w:val="single" w:sz="4" w:space="0" w:color="000000"/>
              <w:right w:val="single" w:sz="4" w:space="0" w:color="000000"/>
            </w:tcBorders>
            <w:shd w:val="clear" w:color="000000" w:fill="FFFFFF"/>
            <w:hideMark/>
          </w:tcPr>
          <w:p w14:paraId="43F5BEB4" w14:textId="77777777" w:rsidR="00D22C6D" w:rsidRPr="00216C30" w:rsidRDefault="00D22C6D" w:rsidP="005E1467">
            <w:pPr>
              <w:jc w:val="right"/>
              <w:rPr>
                <w:rFonts w:ascii="Arial" w:hAnsi="Arial" w:cs="Arial"/>
                <w:sz w:val="20"/>
                <w:szCs w:val="20"/>
              </w:rPr>
            </w:pPr>
            <w:r>
              <w:rPr>
                <w:rFonts w:ascii="Arial" w:hAnsi="Arial"/>
                <w:sz w:val="20"/>
                <w:szCs w:val="20"/>
              </w:rPr>
              <w:t> </w:t>
            </w:r>
          </w:p>
        </w:tc>
      </w:tr>
      <w:tr w:rsidR="00D22C6D" w:rsidRPr="00864AD4" w14:paraId="0F090037"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6D98D849"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33</w:t>
            </w:r>
          </w:p>
        </w:tc>
        <w:tc>
          <w:tcPr>
            <w:tcW w:w="7788" w:type="dxa"/>
            <w:tcBorders>
              <w:top w:val="nil"/>
              <w:left w:val="nil"/>
              <w:bottom w:val="single" w:sz="4" w:space="0" w:color="000000"/>
              <w:right w:val="single" w:sz="4" w:space="0" w:color="000000"/>
            </w:tcBorders>
            <w:shd w:val="clear" w:color="000000" w:fill="FFFFFF"/>
            <w:hideMark/>
          </w:tcPr>
          <w:p w14:paraId="1BAE4848" w14:textId="77777777" w:rsidR="00D22C6D" w:rsidRPr="00424CC3" w:rsidRDefault="00D22C6D" w:rsidP="009323ED">
            <w:pPr>
              <w:spacing w:before="60"/>
              <w:jc w:val="left"/>
              <w:rPr>
                <w:rFonts w:ascii="Arial" w:hAnsi="Arial" w:cs="Arial"/>
                <w:i/>
                <w:iCs/>
                <w:color w:val="000000"/>
                <w:sz w:val="16"/>
                <w:szCs w:val="16"/>
              </w:rPr>
            </w:pPr>
            <w:r>
              <w:rPr>
                <w:rFonts w:ascii="Arial" w:hAnsi="Arial"/>
                <w:i/>
                <w:iCs/>
                <w:color w:val="000000"/>
                <w:sz w:val="16"/>
                <w:szCs w:val="16"/>
              </w:rPr>
              <w:t>Instruments du capital émis directement sujets à être exclus d'une catégorie 1 supplémentaire</w:t>
            </w:r>
          </w:p>
        </w:tc>
        <w:tc>
          <w:tcPr>
            <w:tcW w:w="1620" w:type="dxa"/>
            <w:tcBorders>
              <w:top w:val="nil"/>
              <w:left w:val="nil"/>
              <w:bottom w:val="single" w:sz="4" w:space="0" w:color="000000"/>
              <w:right w:val="single" w:sz="4" w:space="0" w:color="000000"/>
            </w:tcBorders>
            <w:shd w:val="clear" w:color="000000" w:fill="FFFFFF"/>
            <w:hideMark/>
          </w:tcPr>
          <w:p w14:paraId="0817AB08" w14:textId="77777777" w:rsidR="00D22C6D" w:rsidRPr="00216C30" w:rsidRDefault="00D22C6D" w:rsidP="005E1467">
            <w:pPr>
              <w:jc w:val="right"/>
              <w:rPr>
                <w:rFonts w:ascii="Arial" w:hAnsi="Arial" w:cs="Arial"/>
                <w:sz w:val="20"/>
                <w:szCs w:val="20"/>
              </w:rPr>
            </w:pPr>
            <w:r>
              <w:rPr>
                <w:rFonts w:ascii="Arial" w:hAnsi="Arial"/>
                <w:sz w:val="20"/>
                <w:szCs w:val="20"/>
              </w:rPr>
              <w:t> </w:t>
            </w:r>
          </w:p>
        </w:tc>
      </w:tr>
      <w:tr w:rsidR="00D22C6D" w:rsidRPr="00864AD4" w14:paraId="4BC2153F" w14:textId="77777777" w:rsidTr="00F762BF">
        <w:trPr>
          <w:trHeight w:val="399"/>
        </w:trPr>
        <w:tc>
          <w:tcPr>
            <w:tcW w:w="582" w:type="dxa"/>
            <w:tcBorders>
              <w:top w:val="nil"/>
              <w:left w:val="single" w:sz="4" w:space="0" w:color="000000"/>
              <w:bottom w:val="single" w:sz="4" w:space="0" w:color="000000"/>
              <w:right w:val="single" w:sz="4" w:space="0" w:color="000000"/>
            </w:tcBorders>
            <w:shd w:val="clear" w:color="000000" w:fill="FFFFFF"/>
            <w:hideMark/>
          </w:tcPr>
          <w:p w14:paraId="6759FB32"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34</w:t>
            </w:r>
          </w:p>
        </w:tc>
        <w:tc>
          <w:tcPr>
            <w:tcW w:w="7788" w:type="dxa"/>
            <w:tcBorders>
              <w:top w:val="nil"/>
              <w:left w:val="nil"/>
              <w:bottom w:val="single" w:sz="4" w:space="0" w:color="000000"/>
              <w:right w:val="single" w:sz="4" w:space="0" w:color="000000"/>
            </w:tcBorders>
            <w:shd w:val="clear" w:color="000000" w:fill="FFFFFF"/>
            <w:hideMark/>
          </w:tcPr>
          <w:p w14:paraId="0206965E"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Instruments catégorie 1 supplémentaires (et instruments CET1 non inclus à la ligne 5) émis par des filiales et détenus par des tiers (montant permis pour le groupe AT1)</w:t>
            </w:r>
          </w:p>
        </w:tc>
        <w:tc>
          <w:tcPr>
            <w:tcW w:w="1620" w:type="dxa"/>
            <w:tcBorders>
              <w:top w:val="nil"/>
              <w:left w:val="nil"/>
              <w:bottom w:val="single" w:sz="4" w:space="0" w:color="000000"/>
              <w:right w:val="single" w:sz="4" w:space="0" w:color="000000"/>
            </w:tcBorders>
            <w:shd w:val="clear" w:color="000000" w:fill="FFFFFF"/>
            <w:hideMark/>
          </w:tcPr>
          <w:p w14:paraId="51C34886" w14:textId="77777777" w:rsidR="00D22C6D" w:rsidRPr="00216C30" w:rsidRDefault="00D22C6D" w:rsidP="005E1467">
            <w:pPr>
              <w:jc w:val="right"/>
              <w:rPr>
                <w:rFonts w:ascii="Arial" w:hAnsi="Arial" w:cs="Arial"/>
                <w:sz w:val="20"/>
                <w:szCs w:val="20"/>
              </w:rPr>
            </w:pPr>
            <w:r>
              <w:rPr>
                <w:rFonts w:ascii="Arial" w:hAnsi="Arial"/>
                <w:sz w:val="20"/>
                <w:szCs w:val="20"/>
              </w:rPr>
              <w:t> </w:t>
            </w:r>
          </w:p>
        </w:tc>
      </w:tr>
      <w:tr w:rsidR="00D22C6D" w:rsidRPr="00864AD4" w14:paraId="1FD0F521" w14:textId="77777777" w:rsidTr="00F762BF">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6FB5F730"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35</w:t>
            </w:r>
          </w:p>
        </w:tc>
        <w:tc>
          <w:tcPr>
            <w:tcW w:w="7788" w:type="dxa"/>
            <w:tcBorders>
              <w:top w:val="single" w:sz="4" w:space="0" w:color="000000"/>
              <w:left w:val="nil"/>
              <w:bottom w:val="single" w:sz="4" w:space="0" w:color="000000"/>
              <w:right w:val="single" w:sz="4" w:space="0" w:color="000000"/>
            </w:tcBorders>
            <w:shd w:val="clear" w:color="000000" w:fill="FFFFFF"/>
            <w:hideMark/>
          </w:tcPr>
          <w:p w14:paraId="32D8DC75" w14:textId="77777777" w:rsidR="00D22C6D" w:rsidRPr="00864AD4" w:rsidRDefault="00D22C6D" w:rsidP="009323ED">
            <w:pPr>
              <w:spacing w:before="60"/>
              <w:jc w:val="left"/>
              <w:rPr>
                <w:rFonts w:ascii="Arial" w:hAnsi="Arial" w:cs="Arial"/>
                <w:i/>
                <w:iCs/>
                <w:color w:val="000000"/>
                <w:sz w:val="16"/>
                <w:szCs w:val="16"/>
              </w:rPr>
            </w:pPr>
            <w:proofErr w:type="gramStart"/>
            <w:r>
              <w:rPr>
                <w:rFonts w:ascii="Arial" w:hAnsi="Arial"/>
                <w:i/>
                <w:iCs/>
                <w:color w:val="000000"/>
                <w:sz w:val="16"/>
                <w:szCs w:val="16"/>
              </w:rPr>
              <w:t>instruments</w:t>
            </w:r>
            <w:proofErr w:type="gramEnd"/>
            <w:r>
              <w:rPr>
                <w:rFonts w:ascii="Arial" w:hAnsi="Arial"/>
                <w:i/>
                <w:iCs/>
                <w:color w:val="000000"/>
                <w:sz w:val="16"/>
                <w:szCs w:val="16"/>
              </w:rPr>
              <w:t xml:space="preserve"> émis par des filiales sujets à être exclus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448E3D42" w14:textId="77777777" w:rsidR="00D22C6D" w:rsidRPr="00216C30" w:rsidRDefault="00D22C6D" w:rsidP="005E1467">
            <w:pPr>
              <w:jc w:val="right"/>
              <w:rPr>
                <w:rFonts w:ascii="Arial" w:hAnsi="Arial" w:cs="Arial"/>
                <w:sz w:val="20"/>
                <w:szCs w:val="20"/>
              </w:rPr>
            </w:pPr>
            <w:r>
              <w:rPr>
                <w:rFonts w:ascii="Arial" w:hAnsi="Arial"/>
                <w:sz w:val="20"/>
                <w:szCs w:val="20"/>
              </w:rPr>
              <w:t> </w:t>
            </w:r>
          </w:p>
        </w:tc>
      </w:tr>
      <w:tr w:rsidR="00D22C6D" w:rsidRPr="00864AD4" w14:paraId="735F85CD" w14:textId="77777777" w:rsidTr="00F762BF">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2E58B8E6"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36</w:t>
            </w:r>
          </w:p>
        </w:tc>
        <w:tc>
          <w:tcPr>
            <w:tcW w:w="7788" w:type="dxa"/>
            <w:tcBorders>
              <w:top w:val="single" w:sz="4" w:space="0" w:color="000000"/>
              <w:left w:val="nil"/>
              <w:bottom w:val="single" w:sz="4" w:space="0" w:color="000000"/>
              <w:right w:val="single" w:sz="4" w:space="0" w:color="000000"/>
            </w:tcBorders>
            <w:shd w:val="clear" w:color="000000" w:fill="D9D9D9"/>
            <w:hideMark/>
          </w:tcPr>
          <w:p w14:paraId="1CBA1517" w14:textId="77777777" w:rsidR="00D22C6D" w:rsidRPr="00424CC3" w:rsidRDefault="00D22C6D" w:rsidP="009323ED">
            <w:pPr>
              <w:spacing w:before="60"/>
              <w:jc w:val="left"/>
              <w:rPr>
                <w:rFonts w:ascii="Arial" w:hAnsi="Arial" w:cs="Arial"/>
                <w:b/>
                <w:bCs/>
                <w:color w:val="000000"/>
                <w:sz w:val="16"/>
                <w:szCs w:val="16"/>
              </w:rPr>
            </w:pPr>
            <w:r>
              <w:rPr>
                <w:rFonts w:ascii="Arial" w:hAnsi="Arial"/>
                <w:b/>
                <w:bCs/>
                <w:color w:val="000000"/>
                <w:sz w:val="16"/>
                <w:szCs w:val="16"/>
              </w:rPr>
              <w:t>Capital catégorie 1 supplémentaire avant les ajustements réglementaires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29C7DC6A" w14:textId="77777777" w:rsidR="00D22C6D" w:rsidRPr="00216C30" w:rsidRDefault="00D22C6D" w:rsidP="005E1467">
            <w:pPr>
              <w:jc w:val="right"/>
              <w:rPr>
                <w:rFonts w:ascii="Arial" w:hAnsi="Arial" w:cs="Arial"/>
                <w:sz w:val="20"/>
                <w:szCs w:val="20"/>
              </w:rPr>
            </w:pPr>
            <w:r>
              <w:rPr>
                <w:rFonts w:ascii="Arial" w:hAnsi="Arial"/>
                <w:sz w:val="20"/>
                <w:szCs w:val="20"/>
              </w:rPr>
              <w:t> </w:t>
            </w:r>
          </w:p>
        </w:tc>
      </w:tr>
      <w:tr w:rsidR="00D22C6D" w:rsidRPr="00864AD4" w14:paraId="5C6B2324"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329D0BA0"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43</w:t>
            </w:r>
          </w:p>
        </w:tc>
        <w:tc>
          <w:tcPr>
            <w:tcW w:w="7788" w:type="dxa"/>
            <w:tcBorders>
              <w:top w:val="single" w:sz="4" w:space="0" w:color="000000"/>
              <w:left w:val="nil"/>
              <w:bottom w:val="single" w:sz="4" w:space="0" w:color="000000"/>
              <w:right w:val="single" w:sz="4" w:space="0" w:color="000000"/>
            </w:tcBorders>
            <w:shd w:val="clear" w:color="000000" w:fill="D9D9D9"/>
            <w:hideMark/>
          </w:tcPr>
          <w:p w14:paraId="4DD3C03B" w14:textId="77777777" w:rsidR="00D22C6D" w:rsidRPr="00424CC3" w:rsidRDefault="00D22C6D" w:rsidP="009323ED">
            <w:pPr>
              <w:spacing w:before="60"/>
              <w:jc w:val="left"/>
              <w:rPr>
                <w:rFonts w:ascii="Arial" w:hAnsi="Arial" w:cs="Arial"/>
                <w:b/>
                <w:bCs/>
                <w:color w:val="000000"/>
                <w:sz w:val="16"/>
                <w:szCs w:val="16"/>
              </w:rPr>
            </w:pPr>
            <w:r>
              <w:rPr>
                <w:rFonts w:ascii="Arial" w:hAnsi="Arial"/>
                <w:b/>
                <w:bCs/>
                <w:color w:val="000000"/>
                <w:sz w:val="16"/>
                <w:szCs w:val="16"/>
              </w:rPr>
              <w:t>Total des ajustements réglementaires apportés au capital catégorie 1</w:t>
            </w:r>
          </w:p>
        </w:tc>
        <w:tc>
          <w:tcPr>
            <w:tcW w:w="1620" w:type="dxa"/>
            <w:tcBorders>
              <w:top w:val="single" w:sz="4" w:space="0" w:color="000000"/>
              <w:left w:val="nil"/>
              <w:bottom w:val="single" w:sz="4" w:space="0" w:color="000000"/>
              <w:right w:val="single" w:sz="4" w:space="0" w:color="000000"/>
            </w:tcBorders>
            <w:shd w:val="clear" w:color="000000" w:fill="FFFFFF"/>
            <w:hideMark/>
          </w:tcPr>
          <w:p w14:paraId="4F827FBC" w14:textId="77777777" w:rsidR="00D22C6D" w:rsidRPr="00216C30" w:rsidRDefault="00D22C6D" w:rsidP="005E1467">
            <w:pPr>
              <w:jc w:val="right"/>
              <w:rPr>
                <w:rFonts w:ascii="Arial" w:hAnsi="Arial" w:cs="Arial"/>
                <w:sz w:val="20"/>
                <w:szCs w:val="20"/>
              </w:rPr>
            </w:pPr>
            <w:r>
              <w:rPr>
                <w:rFonts w:ascii="Arial" w:hAnsi="Arial"/>
                <w:sz w:val="20"/>
                <w:szCs w:val="20"/>
              </w:rPr>
              <w:t> </w:t>
            </w:r>
          </w:p>
        </w:tc>
      </w:tr>
      <w:tr w:rsidR="00D22C6D" w:rsidRPr="00864AD4" w14:paraId="1CFAABC1"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152FFFBC"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44</w:t>
            </w:r>
          </w:p>
        </w:tc>
        <w:tc>
          <w:tcPr>
            <w:tcW w:w="7788" w:type="dxa"/>
            <w:tcBorders>
              <w:top w:val="nil"/>
              <w:left w:val="nil"/>
              <w:bottom w:val="single" w:sz="4" w:space="0" w:color="000000"/>
              <w:right w:val="single" w:sz="4" w:space="0" w:color="000000"/>
            </w:tcBorders>
            <w:shd w:val="clear" w:color="000000" w:fill="D9D9D9"/>
            <w:hideMark/>
          </w:tcPr>
          <w:p w14:paraId="6D729919" w14:textId="77777777" w:rsidR="00D22C6D" w:rsidRPr="00424CC3" w:rsidRDefault="00D22C6D" w:rsidP="009323ED">
            <w:pPr>
              <w:spacing w:before="60"/>
              <w:jc w:val="left"/>
              <w:rPr>
                <w:rFonts w:ascii="Arial" w:hAnsi="Arial" w:cs="Arial"/>
                <w:b/>
                <w:bCs/>
                <w:color w:val="000000"/>
                <w:sz w:val="16"/>
                <w:szCs w:val="16"/>
              </w:rPr>
            </w:pPr>
            <w:r>
              <w:rPr>
                <w:rFonts w:ascii="Arial" w:hAnsi="Arial"/>
                <w:b/>
                <w:bCs/>
                <w:color w:val="000000"/>
                <w:sz w:val="16"/>
                <w:szCs w:val="16"/>
              </w:rPr>
              <w:t>Capital catégorie 1 supplémentaire (AT1)</w:t>
            </w:r>
          </w:p>
        </w:tc>
        <w:tc>
          <w:tcPr>
            <w:tcW w:w="1620" w:type="dxa"/>
            <w:tcBorders>
              <w:top w:val="nil"/>
              <w:left w:val="nil"/>
              <w:bottom w:val="single" w:sz="4" w:space="0" w:color="000000"/>
              <w:right w:val="single" w:sz="4" w:space="0" w:color="000000"/>
            </w:tcBorders>
            <w:shd w:val="clear" w:color="000000" w:fill="FFFFFF"/>
            <w:hideMark/>
          </w:tcPr>
          <w:p w14:paraId="60685110" w14:textId="77777777" w:rsidR="00D22C6D" w:rsidRPr="00216C30" w:rsidRDefault="00D22C6D" w:rsidP="005E1467">
            <w:pPr>
              <w:jc w:val="right"/>
              <w:rPr>
                <w:rFonts w:ascii="Arial" w:hAnsi="Arial" w:cs="Arial"/>
                <w:sz w:val="20"/>
                <w:szCs w:val="20"/>
              </w:rPr>
            </w:pPr>
            <w:r>
              <w:rPr>
                <w:rFonts w:ascii="Arial" w:hAnsi="Arial"/>
                <w:sz w:val="20"/>
                <w:szCs w:val="20"/>
              </w:rPr>
              <w:t> </w:t>
            </w:r>
          </w:p>
        </w:tc>
      </w:tr>
      <w:tr w:rsidR="00D22C6D" w:rsidRPr="00864AD4" w14:paraId="65485B9C" w14:textId="77777777" w:rsidTr="00F762BF">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579BD5E4"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45</w:t>
            </w:r>
          </w:p>
        </w:tc>
        <w:tc>
          <w:tcPr>
            <w:tcW w:w="7788" w:type="dxa"/>
            <w:tcBorders>
              <w:top w:val="nil"/>
              <w:left w:val="nil"/>
              <w:bottom w:val="single" w:sz="4" w:space="0" w:color="000000"/>
              <w:right w:val="single" w:sz="4" w:space="0" w:color="000000"/>
            </w:tcBorders>
            <w:shd w:val="clear" w:color="000000" w:fill="D9D9D9"/>
            <w:hideMark/>
          </w:tcPr>
          <w:p w14:paraId="1069704F" w14:textId="77777777" w:rsidR="00D22C6D" w:rsidRPr="00864AD4" w:rsidRDefault="00D22C6D" w:rsidP="009323ED">
            <w:pPr>
              <w:spacing w:before="60"/>
              <w:jc w:val="left"/>
              <w:rPr>
                <w:rFonts w:ascii="Arial" w:hAnsi="Arial" w:cs="Arial"/>
                <w:b/>
                <w:bCs/>
                <w:color w:val="000000"/>
                <w:sz w:val="16"/>
                <w:szCs w:val="16"/>
              </w:rPr>
            </w:pPr>
            <w:r>
              <w:rPr>
                <w:rFonts w:ascii="Arial" w:hAnsi="Arial"/>
                <w:b/>
                <w:bCs/>
                <w:color w:val="000000"/>
                <w:sz w:val="16"/>
                <w:szCs w:val="16"/>
              </w:rPr>
              <w:t xml:space="preserve">Capital catégorie </w:t>
            </w:r>
            <w:proofErr w:type="gramStart"/>
            <w:r>
              <w:rPr>
                <w:rFonts w:ascii="Arial" w:hAnsi="Arial"/>
                <w:b/>
                <w:bCs/>
                <w:color w:val="000000"/>
                <w:sz w:val="16"/>
                <w:szCs w:val="16"/>
              </w:rPr>
              <w:t>1  (</w:t>
            </w:r>
            <w:proofErr w:type="gramEnd"/>
            <w:r>
              <w:rPr>
                <w:rFonts w:ascii="Arial" w:hAnsi="Arial"/>
                <w:b/>
                <w:bCs/>
                <w:color w:val="000000"/>
                <w:sz w:val="16"/>
                <w:szCs w:val="16"/>
              </w:rPr>
              <w:t>T1 = CET1 + AT1)</w:t>
            </w:r>
          </w:p>
        </w:tc>
        <w:tc>
          <w:tcPr>
            <w:tcW w:w="1620" w:type="dxa"/>
            <w:tcBorders>
              <w:top w:val="nil"/>
              <w:left w:val="nil"/>
              <w:bottom w:val="single" w:sz="4" w:space="0" w:color="000000"/>
              <w:right w:val="single" w:sz="4" w:space="0" w:color="000000"/>
            </w:tcBorders>
            <w:shd w:val="clear" w:color="000000" w:fill="FFFFFF"/>
            <w:hideMark/>
          </w:tcPr>
          <w:p w14:paraId="3806506E" w14:textId="63E56FAC" w:rsidR="00D22C6D" w:rsidRPr="00216C30" w:rsidRDefault="00DA343E">
            <w:pPr>
              <w:jc w:val="right"/>
              <w:rPr>
                <w:rFonts w:ascii="Arial" w:hAnsi="Arial" w:cs="Arial"/>
                <w:b/>
                <w:color w:val="000000"/>
                <w:sz w:val="20"/>
                <w:szCs w:val="20"/>
              </w:rPr>
            </w:pPr>
            <w:r>
              <w:rPr>
                <w:rFonts w:ascii="Arial" w:hAnsi="Arial"/>
                <w:b/>
                <w:color w:val="000000"/>
                <w:sz w:val="20"/>
                <w:szCs w:val="20"/>
              </w:rPr>
              <w:t>261 834</w:t>
            </w:r>
          </w:p>
        </w:tc>
      </w:tr>
      <w:tr w:rsidR="00D22C6D" w:rsidRPr="00864AD4" w14:paraId="44127BE1"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23EF4CBC"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51</w:t>
            </w:r>
          </w:p>
        </w:tc>
        <w:tc>
          <w:tcPr>
            <w:tcW w:w="7788" w:type="dxa"/>
            <w:tcBorders>
              <w:top w:val="single" w:sz="4" w:space="0" w:color="000000"/>
              <w:left w:val="nil"/>
              <w:bottom w:val="single" w:sz="4" w:space="0" w:color="000000"/>
              <w:right w:val="single" w:sz="4" w:space="0" w:color="000000"/>
            </w:tcBorders>
            <w:shd w:val="clear" w:color="000000" w:fill="FFFFFF"/>
            <w:hideMark/>
          </w:tcPr>
          <w:p w14:paraId="2E5F92B4" w14:textId="77777777" w:rsidR="00D22C6D" w:rsidRPr="00424CC3" w:rsidRDefault="00D22C6D" w:rsidP="009323ED">
            <w:pPr>
              <w:spacing w:before="60"/>
              <w:jc w:val="left"/>
              <w:rPr>
                <w:rFonts w:ascii="Arial" w:hAnsi="Arial" w:cs="Arial"/>
                <w:b/>
                <w:bCs/>
                <w:color w:val="000000"/>
                <w:sz w:val="16"/>
                <w:szCs w:val="16"/>
              </w:rPr>
            </w:pPr>
            <w:r>
              <w:rPr>
                <w:rFonts w:ascii="Arial" w:hAnsi="Arial"/>
                <w:b/>
                <w:bCs/>
                <w:color w:val="000000"/>
                <w:sz w:val="16"/>
                <w:szCs w:val="16"/>
              </w:rPr>
              <w:t>Capital catégorie 2 supplémentaire avant les ajustements réglementaires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238BC508" w14:textId="73F9F711" w:rsidR="00D22C6D" w:rsidRPr="00216C30" w:rsidRDefault="00DA343E" w:rsidP="00BF06CD">
            <w:pPr>
              <w:jc w:val="right"/>
              <w:rPr>
                <w:rFonts w:ascii="Arial" w:hAnsi="Arial" w:cs="Arial"/>
                <w:sz w:val="20"/>
              </w:rPr>
            </w:pPr>
            <w:r>
              <w:rPr>
                <w:rFonts w:ascii="Arial" w:hAnsi="Arial"/>
                <w:sz w:val="20"/>
              </w:rPr>
              <w:t>13 763</w:t>
            </w:r>
          </w:p>
        </w:tc>
      </w:tr>
      <w:tr w:rsidR="00D22C6D" w:rsidRPr="00864AD4" w14:paraId="7C62ADD8"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14273484"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57</w:t>
            </w:r>
          </w:p>
        </w:tc>
        <w:tc>
          <w:tcPr>
            <w:tcW w:w="7788" w:type="dxa"/>
            <w:tcBorders>
              <w:top w:val="single" w:sz="4" w:space="0" w:color="000000"/>
              <w:left w:val="nil"/>
              <w:bottom w:val="single" w:sz="4" w:space="0" w:color="000000"/>
              <w:right w:val="single" w:sz="4" w:space="0" w:color="000000"/>
            </w:tcBorders>
            <w:shd w:val="clear" w:color="000000" w:fill="D9D9D9"/>
            <w:hideMark/>
          </w:tcPr>
          <w:p w14:paraId="3F167442" w14:textId="77777777" w:rsidR="00D22C6D" w:rsidRPr="00424CC3" w:rsidRDefault="00D22C6D" w:rsidP="009323ED">
            <w:pPr>
              <w:spacing w:before="60"/>
              <w:jc w:val="left"/>
              <w:rPr>
                <w:rFonts w:ascii="Arial" w:hAnsi="Arial" w:cs="Arial"/>
                <w:b/>
                <w:bCs/>
                <w:color w:val="000000"/>
                <w:sz w:val="16"/>
                <w:szCs w:val="16"/>
              </w:rPr>
            </w:pPr>
            <w:r>
              <w:rPr>
                <w:rFonts w:ascii="Arial" w:hAnsi="Arial"/>
                <w:b/>
                <w:bCs/>
                <w:color w:val="000000"/>
                <w:sz w:val="16"/>
                <w:szCs w:val="16"/>
              </w:rPr>
              <w:t>Total des ajustements réglementaires apportés au capital catégorie 2</w:t>
            </w:r>
          </w:p>
        </w:tc>
        <w:tc>
          <w:tcPr>
            <w:tcW w:w="1620" w:type="dxa"/>
            <w:tcBorders>
              <w:top w:val="single" w:sz="4" w:space="0" w:color="000000"/>
              <w:left w:val="nil"/>
              <w:bottom w:val="single" w:sz="4" w:space="0" w:color="000000"/>
              <w:right w:val="single" w:sz="4" w:space="0" w:color="000000"/>
            </w:tcBorders>
            <w:shd w:val="clear" w:color="000000" w:fill="FFFFFF"/>
            <w:hideMark/>
          </w:tcPr>
          <w:p w14:paraId="5B76ECAE" w14:textId="77777777" w:rsidR="00D22C6D" w:rsidRPr="00216C30" w:rsidRDefault="00D22C6D" w:rsidP="005E1467">
            <w:pPr>
              <w:jc w:val="right"/>
              <w:rPr>
                <w:rFonts w:ascii="Arial" w:hAnsi="Arial" w:cs="Arial"/>
                <w:sz w:val="20"/>
                <w:szCs w:val="20"/>
              </w:rPr>
            </w:pPr>
            <w:r>
              <w:rPr>
                <w:rFonts w:ascii="Arial" w:hAnsi="Arial"/>
                <w:sz w:val="20"/>
                <w:szCs w:val="20"/>
              </w:rPr>
              <w:t> </w:t>
            </w:r>
          </w:p>
        </w:tc>
      </w:tr>
      <w:tr w:rsidR="00BF06CD" w:rsidRPr="00864AD4" w14:paraId="43CA1894" w14:textId="77777777" w:rsidTr="00F762BF">
        <w:trPr>
          <w:trHeight w:val="266"/>
        </w:trPr>
        <w:tc>
          <w:tcPr>
            <w:tcW w:w="582" w:type="dxa"/>
            <w:tcBorders>
              <w:top w:val="nil"/>
              <w:left w:val="single" w:sz="4" w:space="0" w:color="000000"/>
              <w:bottom w:val="single" w:sz="4" w:space="0" w:color="000000"/>
              <w:right w:val="nil"/>
            </w:tcBorders>
            <w:shd w:val="clear" w:color="000000" w:fill="FFFFFF"/>
            <w:hideMark/>
          </w:tcPr>
          <w:p w14:paraId="70B4211D" w14:textId="77777777" w:rsidR="00BF06CD" w:rsidRPr="00864AD4" w:rsidRDefault="00BF06CD" w:rsidP="009323ED">
            <w:pPr>
              <w:spacing w:before="60"/>
              <w:jc w:val="left"/>
              <w:rPr>
                <w:rFonts w:ascii="Arial" w:hAnsi="Arial" w:cs="Arial"/>
                <w:color w:val="000000"/>
                <w:sz w:val="16"/>
                <w:szCs w:val="16"/>
              </w:rPr>
            </w:pPr>
            <w:r>
              <w:rPr>
                <w:rFonts w:ascii="Arial" w:hAnsi="Arial"/>
                <w:color w:val="000000"/>
                <w:sz w:val="16"/>
                <w:szCs w:val="16"/>
              </w:rPr>
              <w:t>58</w:t>
            </w:r>
          </w:p>
        </w:tc>
        <w:tc>
          <w:tcPr>
            <w:tcW w:w="7788" w:type="dxa"/>
            <w:tcBorders>
              <w:top w:val="single" w:sz="4" w:space="0" w:color="000000"/>
              <w:left w:val="single" w:sz="4" w:space="0" w:color="auto"/>
              <w:bottom w:val="single" w:sz="4" w:space="0" w:color="auto"/>
              <w:right w:val="single" w:sz="4" w:space="0" w:color="auto"/>
            </w:tcBorders>
            <w:shd w:val="clear" w:color="000000" w:fill="D9D9D9"/>
            <w:hideMark/>
          </w:tcPr>
          <w:p w14:paraId="49675A3C" w14:textId="77777777" w:rsidR="00BF06CD" w:rsidRPr="00424CC3" w:rsidRDefault="00BF06CD" w:rsidP="00F762BF">
            <w:pPr>
              <w:spacing w:before="60"/>
              <w:jc w:val="left"/>
              <w:rPr>
                <w:rFonts w:ascii="Arial" w:hAnsi="Arial" w:cs="Arial"/>
                <w:b/>
                <w:bCs/>
                <w:color w:val="000000"/>
                <w:sz w:val="16"/>
                <w:szCs w:val="16"/>
              </w:rPr>
            </w:pPr>
            <w:r>
              <w:rPr>
                <w:rFonts w:ascii="Arial" w:hAnsi="Arial"/>
                <w:b/>
                <w:bCs/>
                <w:color w:val="000000"/>
                <w:sz w:val="16"/>
                <w:szCs w:val="16"/>
              </w:rPr>
              <w:t>Capital catégorie 2 (T2)</w:t>
            </w:r>
          </w:p>
        </w:tc>
        <w:tc>
          <w:tcPr>
            <w:tcW w:w="1620" w:type="dxa"/>
            <w:tcBorders>
              <w:top w:val="single" w:sz="4" w:space="0" w:color="000000"/>
              <w:left w:val="nil"/>
              <w:bottom w:val="single" w:sz="4" w:space="0" w:color="000000"/>
              <w:right w:val="single" w:sz="4" w:space="0" w:color="000000"/>
            </w:tcBorders>
            <w:shd w:val="clear" w:color="000000" w:fill="FFFFFF"/>
            <w:hideMark/>
          </w:tcPr>
          <w:p w14:paraId="1CFD7DA6" w14:textId="5788425B" w:rsidR="00BF06CD" w:rsidRPr="00216C30" w:rsidRDefault="00540A71">
            <w:pPr>
              <w:jc w:val="right"/>
              <w:rPr>
                <w:rFonts w:ascii="Arial" w:hAnsi="Arial" w:cs="Arial"/>
                <w:b/>
                <w:color w:val="000000"/>
                <w:sz w:val="20"/>
                <w:szCs w:val="20"/>
              </w:rPr>
            </w:pPr>
            <w:r>
              <w:rPr>
                <w:rFonts w:ascii="Arial" w:hAnsi="Arial"/>
                <w:b/>
                <w:color w:val="000000"/>
                <w:sz w:val="20"/>
                <w:szCs w:val="20"/>
              </w:rPr>
              <w:t>13 763</w:t>
            </w:r>
          </w:p>
        </w:tc>
      </w:tr>
      <w:tr w:rsidR="00DA343E" w:rsidRPr="00864AD4" w14:paraId="150843E2" w14:textId="77777777" w:rsidTr="00D22C6D">
        <w:trPr>
          <w:trHeight w:val="266"/>
        </w:trPr>
        <w:tc>
          <w:tcPr>
            <w:tcW w:w="582" w:type="dxa"/>
            <w:tcBorders>
              <w:top w:val="nil"/>
              <w:left w:val="single" w:sz="4" w:space="0" w:color="000000"/>
              <w:bottom w:val="single" w:sz="4" w:space="0" w:color="000000"/>
              <w:right w:val="nil"/>
            </w:tcBorders>
            <w:shd w:val="clear" w:color="000000" w:fill="FFFFFF"/>
            <w:hideMark/>
          </w:tcPr>
          <w:p w14:paraId="3B1DC659" w14:textId="77777777" w:rsidR="00DA343E" w:rsidRPr="00864AD4" w:rsidRDefault="00DA343E" w:rsidP="009323ED">
            <w:pPr>
              <w:spacing w:before="60"/>
              <w:jc w:val="left"/>
              <w:rPr>
                <w:rFonts w:ascii="Arial" w:hAnsi="Arial" w:cs="Arial"/>
                <w:color w:val="000000"/>
                <w:sz w:val="16"/>
                <w:szCs w:val="16"/>
              </w:rPr>
            </w:pPr>
            <w:r>
              <w:rPr>
                <w:rFonts w:ascii="Arial" w:hAnsi="Arial"/>
                <w:color w:val="000000"/>
                <w:sz w:val="16"/>
                <w:szCs w:val="16"/>
              </w:rPr>
              <w:t>59</w:t>
            </w:r>
          </w:p>
        </w:tc>
        <w:tc>
          <w:tcPr>
            <w:tcW w:w="7788" w:type="dxa"/>
            <w:tcBorders>
              <w:top w:val="nil"/>
              <w:left w:val="single" w:sz="4" w:space="0" w:color="auto"/>
              <w:bottom w:val="single" w:sz="4" w:space="0" w:color="auto"/>
              <w:right w:val="single" w:sz="4" w:space="0" w:color="auto"/>
            </w:tcBorders>
            <w:shd w:val="clear" w:color="000000" w:fill="D9D9D9"/>
            <w:hideMark/>
          </w:tcPr>
          <w:p w14:paraId="004F2358" w14:textId="77777777" w:rsidR="00DA343E" w:rsidRPr="00424CC3" w:rsidRDefault="00DA343E" w:rsidP="00F762BF">
            <w:pPr>
              <w:spacing w:before="60"/>
              <w:jc w:val="left"/>
              <w:rPr>
                <w:rFonts w:ascii="Arial" w:hAnsi="Arial" w:cs="Arial"/>
                <w:b/>
                <w:bCs/>
                <w:color w:val="000000"/>
                <w:sz w:val="16"/>
                <w:szCs w:val="16"/>
              </w:rPr>
            </w:pPr>
            <w:r>
              <w:rPr>
                <w:rFonts w:ascii="Arial" w:hAnsi="Arial"/>
                <w:b/>
                <w:bCs/>
                <w:color w:val="000000"/>
                <w:sz w:val="16"/>
                <w:szCs w:val="16"/>
              </w:rPr>
              <w:t>Capital total (TC = T1 + T2)</w:t>
            </w:r>
          </w:p>
        </w:tc>
        <w:tc>
          <w:tcPr>
            <w:tcW w:w="1620" w:type="dxa"/>
            <w:tcBorders>
              <w:top w:val="nil"/>
              <w:left w:val="nil"/>
              <w:bottom w:val="single" w:sz="4" w:space="0" w:color="000000"/>
              <w:right w:val="single" w:sz="4" w:space="0" w:color="000000"/>
            </w:tcBorders>
            <w:shd w:val="clear" w:color="000000" w:fill="FFFFFF"/>
            <w:hideMark/>
          </w:tcPr>
          <w:p w14:paraId="770BA6BB" w14:textId="21668E94" w:rsidR="00DA343E" w:rsidRPr="00216C30" w:rsidRDefault="00540A71">
            <w:pPr>
              <w:jc w:val="right"/>
              <w:rPr>
                <w:rFonts w:ascii="Arial" w:hAnsi="Arial" w:cs="Arial"/>
                <w:b/>
                <w:color w:val="000000"/>
                <w:sz w:val="20"/>
                <w:szCs w:val="20"/>
              </w:rPr>
            </w:pPr>
            <w:r>
              <w:rPr>
                <w:rFonts w:ascii="Arial" w:hAnsi="Arial"/>
                <w:b/>
                <w:color w:val="000000"/>
                <w:sz w:val="20"/>
                <w:szCs w:val="20"/>
              </w:rPr>
              <w:t>275 598</w:t>
            </w:r>
          </w:p>
        </w:tc>
      </w:tr>
      <w:tr w:rsidR="00DA343E" w:rsidRPr="00864AD4" w14:paraId="5EC0AC34" w14:textId="77777777" w:rsidTr="00F762BF">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7920DED5" w14:textId="77777777" w:rsidR="00DA343E" w:rsidRPr="00864AD4" w:rsidRDefault="00DA343E" w:rsidP="00F762BF">
            <w:pPr>
              <w:spacing w:before="60"/>
              <w:jc w:val="left"/>
              <w:rPr>
                <w:rFonts w:ascii="Arial" w:hAnsi="Arial" w:cs="Arial"/>
                <w:color w:val="000000"/>
                <w:sz w:val="16"/>
                <w:szCs w:val="16"/>
              </w:rPr>
            </w:pPr>
            <w:r>
              <w:rPr>
                <w:rFonts w:ascii="Arial" w:hAnsi="Arial"/>
                <w:color w:val="000000"/>
                <w:sz w:val="16"/>
                <w:szCs w:val="16"/>
              </w:rPr>
              <w:t>60</w:t>
            </w:r>
          </w:p>
        </w:tc>
        <w:tc>
          <w:tcPr>
            <w:tcW w:w="7788" w:type="dxa"/>
            <w:tcBorders>
              <w:top w:val="nil"/>
              <w:left w:val="nil"/>
              <w:bottom w:val="single" w:sz="4" w:space="0" w:color="000000"/>
              <w:right w:val="single" w:sz="4" w:space="0" w:color="000000"/>
            </w:tcBorders>
            <w:shd w:val="clear" w:color="000000" w:fill="D9D9D9"/>
            <w:hideMark/>
          </w:tcPr>
          <w:p w14:paraId="7D11983F" w14:textId="77777777" w:rsidR="00DA343E" w:rsidRPr="00424CC3" w:rsidRDefault="00DA343E" w:rsidP="00F762BF">
            <w:pPr>
              <w:spacing w:before="60"/>
              <w:jc w:val="left"/>
              <w:rPr>
                <w:rFonts w:ascii="Arial" w:hAnsi="Arial" w:cs="Arial"/>
                <w:b/>
                <w:bCs/>
                <w:color w:val="000000"/>
                <w:sz w:val="16"/>
                <w:szCs w:val="16"/>
              </w:rPr>
            </w:pPr>
            <w:r>
              <w:rPr>
                <w:rFonts w:ascii="Arial" w:hAnsi="Arial"/>
                <w:b/>
                <w:bCs/>
                <w:color w:val="000000"/>
                <w:sz w:val="16"/>
                <w:szCs w:val="16"/>
              </w:rPr>
              <w:t>Total des fonds à risques pondérés</w:t>
            </w:r>
          </w:p>
        </w:tc>
        <w:tc>
          <w:tcPr>
            <w:tcW w:w="1620" w:type="dxa"/>
            <w:tcBorders>
              <w:top w:val="nil"/>
              <w:left w:val="nil"/>
              <w:bottom w:val="single" w:sz="4" w:space="0" w:color="000000"/>
              <w:right w:val="single" w:sz="4" w:space="0" w:color="000000"/>
            </w:tcBorders>
            <w:shd w:val="clear" w:color="000000" w:fill="FFFFFF"/>
            <w:hideMark/>
          </w:tcPr>
          <w:p w14:paraId="270AA74B" w14:textId="76787E5B" w:rsidR="00DA343E" w:rsidRPr="00216C30" w:rsidRDefault="00DA343E">
            <w:pPr>
              <w:jc w:val="right"/>
              <w:rPr>
                <w:rFonts w:ascii="Arial" w:hAnsi="Arial" w:cs="Arial"/>
                <w:b/>
                <w:color w:val="000000"/>
                <w:sz w:val="20"/>
                <w:szCs w:val="20"/>
              </w:rPr>
            </w:pPr>
            <w:r>
              <w:rPr>
                <w:rFonts w:ascii="Arial" w:hAnsi="Arial"/>
                <w:b/>
                <w:color w:val="000000"/>
                <w:sz w:val="20"/>
                <w:szCs w:val="20"/>
              </w:rPr>
              <w:t>1 609 926</w:t>
            </w:r>
          </w:p>
        </w:tc>
      </w:tr>
      <w:tr w:rsidR="00DA343E" w:rsidRPr="00864AD4" w14:paraId="5813F4E9" w14:textId="77777777" w:rsidTr="00F762BF">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209B3D6E" w14:textId="77777777" w:rsidR="00DA343E" w:rsidRPr="00864AD4" w:rsidRDefault="00DA343E" w:rsidP="009323ED">
            <w:pPr>
              <w:spacing w:before="60"/>
              <w:jc w:val="left"/>
              <w:rPr>
                <w:rFonts w:ascii="Arial" w:hAnsi="Arial" w:cs="Arial"/>
                <w:color w:val="000000"/>
                <w:sz w:val="16"/>
                <w:szCs w:val="16"/>
              </w:rPr>
            </w:pPr>
            <w:r>
              <w:rPr>
                <w:rFonts w:ascii="Arial" w:hAnsi="Arial"/>
                <w:color w:val="000000"/>
                <w:sz w:val="16"/>
                <w:szCs w:val="16"/>
              </w:rPr>
              <w:t>61</w:t>
            </w:r>
          </w:p>
        </w:tc>
        <w:tc>
          <w:tcPr>
            <w:tcW w:w="7788" w:type="dxa"/>
            <w:tcBorders>
              <w:top w:val="single" w:sz="4" w:space="0" w:color="000000"/>
              <w:left w:val="nil"/>
              <w:bottom w:val="nil"/>
              <w:right w:val="single" w:sz="4" w:space="0" w:color="000000"/>
            </w:tcBorders>
            <w:shd w:val="clear" w:color="000000" w:fill="D9D9D9"/>
            <w:hideMark/>
          </w:tcPr>
          <w:p w14:paraId="7E906612" w14:textId="77777777" w:rsidR="00DA343E" w:rsidRPr="00424CC3" w:rsidRDefault="00DA343E" w:rsidP="00F762BF">
            <w:pPr>
              <w:spacing w:before="60"/>
              <w:jc w:val="left"/>
              <w:rPr>
                <w:rFonts w:ascii="Arial" w:hAnsi="Arial" w:cs="Arial"/>
                <w:color w:val="000000"/>
                <w:sz w:val="16"/>
                <w:szCs w:val="16"/>
              </w:rPr>
            </w:pPr>
            <w:r>
              <w:rPr>
                <w:rFonts w:ascii="Arial" w:hAnsi="Arial"/>
                <w:color w:val="000000"/>
                <w:sz w:val="16"/>
                <w:szCs w:val="16"/>
              </w:rPr>
              <w:t>Actions ordinaires catégorie 1 (comme pourcentage de fonds à risques pondérés)</w:t>
            </w:r>
          </w:p>
        </w:tc>
        <w:tc>
          <w:tcPr>
            <w:tcW w:w="1620" w:type="dxa"/>
            <w:tcBorders>
              <w:top w:val="single" w:sz="4" w:space="0" w:color="000000"/>
              <w:left w:val="nil"/>
              <w:bottom w:val="single" w:sz="4" w:space="0" w:color="000000"/>
              <w:right w:val="single" w:sz="4" w:space="0" w:color="000000"/>
            </w:tcBorders>
            <w:shd w:val="clear" w:color="000000" w:fill="FFFFFF"/>
            <w:hideMark/>
          </w:tcPr>
          <w:p w14:paraId="04A8BAD3" w14:textId="07946AEA" w:rsidR="00DA343E" w:rsidRPr="00216C30" w:rsidRDefault="00DA343E">
            <w:pPr>
              <w:jc w:val="right"/>
              <w:rPr>
                <w:rFonts w:ascii="Arial" w:hAnsi="Arial" w:cs="Arial"/>
                <w:color w:val="000000"/>
                <w:sz w:val="20"/>
                <w:szCs w:val="20"/>
              </w:rPr>
            </w:pPr>
            <w:r>
              <w:rPr>
                <w:rFonts w:ascii="Arial" w:hAnsi="Arial"/>
                <w:color w:val="000000"/>
                <w:sz w:val="20"/>
                <w:szCs w:val="20"/>
              </w:rPr>
              <w:t xml:space="preserve">           16,26 </w:t>
            </w:r>
          </w:p>
        </w:tc>
      </w:tr>
      <w:tr w:rsidR="00DA343E" w:rsidRPr="00864AD4" w14:paraId="02B7474C" w14:textId="77777777" w:rsidTr="00D22C6D">
        <w:trPr>
          <w:trHeight w:val="266"/>
        </w:trPr>
        <w:tc>
          <w:tcPr>
            <w:tcW w:w="582" w:type="dxa"/>
            <w:tcBorders>
              <w:top w:val="nil"/>
              <w:left w:val="single" w:sz="4" w:space="0" w:color="000000"/>
              <w:bottom w:val="single" w:sz="4" w:space="0" w:color="000000"/>
              <w:right w:val="nil"/>
            </w:tcBorders>
            <w:shd w:val="clear" w:color="000000" w:fill="FFFFFF"/>
            <w:hideMark/>
          </w:tcPr>
          <w:p w14:paraId="10A77AB2" w14:textId="77777777" w:rsidR="00DA343E" w:rsidRPr="00864AD4" w:rsidRDefault="00DA343E" w:rsidP="009323ED">
            <w:pPr>
              <w:spacing w:before="60"/>
              <w:jc w:val="left"/>
              <w:rPr>
                <w:rFonts w:ascii="Arial" w:hAnsi="Arial" w:cs="Arial"/>
                <w:color w:val="000000"/>
                <w:sz w:val="16"/>
                <w:szCs w:val="16"/>
              </w:rPr>
            </w:pPr>
            <w:r>
              <w:rPr>
                <w:rFonts w:ascii="Arial" w:hAnsi="Arial"/>
                <w:color w:val="000000"/>
                <w:sz w:val="16"/>
                <w:szCs w:val="16"/>
              </w:rPr>
              <w:t>62</w:t>
            </w:r>
          </w:p>
        </w:tc>
        <w:tc>
          <w:tcPr>
            <w:tcW w:w="7788" w:type="dxa"/>
            <w:tcBorders>
              <w:top w:val="single" w:sz="4" w:space="0" w:color="auto"/>
              <w:left w:val="single" w:sz="4" w:space="0" w:color="auto"/>
              <w:bottom w:val="single" w:sz="4" w:space="0" w:color="auto"/>
              <w:right w:val="single" w:sz="4" w:space="0" w:color="auto"/>
            </w:tcBorders>
            <w:shd w:val="clear" w:color="000000" w:fill="D9D9D9"/>
            <w:hideMark/>
          </w:tcPr>
          <w:p w14:paraId="041AAF4C" w14:textId="77777777" w:rsidR="00DA343E" w:rsidRPr="00424CC3" w:rsidRDefault="00DA343E" w:rsidP="00F762BF">
            <w:pPr>
              <w:spacing w:before="60"/>
              <w:jc w:val="left"/>
              <w:rPr>
                <w:rFonts w:ascii="Arial" w:hAnsi="Arial" w:cs="Arial"/>
                <w:color w:val="000000"/>
                <w:sz w:val="16"/>
                <w:szCs w:val="16"/>
              </w:rPr>
            </w:pPr>
            <w:r>
              <w:rPr>
                <w:rFonts w:ascii="Arial" w:hAnsi="Arial"/>
                <w:color w:val="000000"/>
                <w:sz w:val="16"/>
                <w:szCs w:val="16"/>
              </w:rPr>
              <w:t>Catégorie 1 (comme pourcentage de fonds à risques pondérés)</w:t>
            </w:r>
          </w:p>
        </w:tc>
        <w:tc>
          <w:tcPr>
            <w:tcW w:w="1620" w:type="dxa"/>
            <w:tcBorders>
              <w:top w:val="nil"/>
              <w:left w:val="nil"/>
              <w:bottom w:val="single" w:sz="4" w:space="0" w:color="000000"/>
              <w:right w:val="single" w:sz="4" w:space="0" w:color="000000"/>
            </w:tcBorders>
            <w:shd w:val="clear" w:color="000000" w:fill="FFFFFF"/>
            <w:hideMark/>
          </w:tcPr>
          <w:p w14:paraId="0EC3A5AB" w14:textId="63D63E3D" w:rsidR="00DA343E" w:rsidRPr="00216C30" w:rsidRDefault="00DA343E">
            <w:pPr>
              <w:jc w:val="right"/>
              <w:rPr>
                <w:rFonts w:ascii="Arial" w:hAnsi="Arial" w:cs="Arial"/>
                <w:color w:val="000000"/>
                <w:sz w:val="20"/>
                <w:szCs w:val="20"/>
              </w:rPr>
            </w:pPr>
            <w:r>
              <w:rPr>
                <w:rFonts w:ascii="Arial" w:hAnsi="Arial"/>
                <w:color w:val="000000"/>
                <w:sz w:val="20"/>
                <w:szCs w:val="20"/>
              </w:rPr>
              <w:t xml:space="preserve">           16,26 </w:t>
            </w:r>
          </w:p>
        </w:tc>
      </w:tr>
      <w:tr w:rsidR="00DA343E" w:rsidRPr="00864AD4" w14:paraId="3E3DA044" w14:textId="77777777" w:rsidTr="00622367">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4C36EE99" w14:textId="77777777" w:rsidR="00DA343E" w:rsidRPr="00864AD4" w:rsidRDefault="00DA343E" w:rsidP="009323ED">
            <w:pPr>
              <w:spacing w:before="60"/>
              <w:jc w:val="left"/>
              <w:rPr>
                <w:rFonts w:ascii="Arial" w:hAnsi="Arial" w:cs="Arial"/>
                <w:color w:val="000000"/>
                <w:sz w:val="16"/>
                <w:szCs w:val="16"/>
              </w:rPr>
            </w:pPr>
            <w:r>
              <w:rPr>
                <w:rFonts w:ascii="Arial" w:hAnsi="Arial"/>
                <w:color w:val="000000"/>
                <w:sz w:val="16"/>
                <w:szCs w:val="16"/>
              </w:rPr>
              <w:t>63</w:t>
            </w:r>
          </w:p>
        </w:tc>
        <w:tc>
          <w:tcPr>
            <w:tcW w:w="7788" w:type="dxa"/>
            <w:tcBorders>
              <w:top w:val="nil"/>
              <w:left w:val="nil"/>
              <w:bottom w:val="single" w:sz="4" w:space="0" w:color="000000"/>
              <w:right w:val="single" w:sz="4" w:space="0" w:color="000000"/>
            </w:tcBorders>
            <w:shd w:val="clear" w:color="000000" w:fill="D9D9D9"/>
            <w:hideMark/>
          </w:tcPr>
          <w:p w14:paraId="726C4211" w14:textId="77777777" w:rsidR="00DA343E" w:rsidRPr="00424CC3" w:rsidRDefault="00DA343E" w:rsidP="00F762BF">
            <w:pPr>
              <w:spacing w:before="60"/>
              <w:jc w:val="left"/>
              <w:rPr>
                <w:rFonts w:ascii="Arial" w:hAnsi="Arial" w:cs="Arial"/>
                <w:color w:val="000000"/>
                <w:sz w:val="16"/>
                <w:szCs w:val="16"/>
              </w:rPr>
            </w:pPr>
            <w:r>
              <w:rPr>
                <w:rFonts w:ascii="Arial" w:hAnsi="Arial"/>
                <w:color w:val="000000"/>
                <w:sz w:val="16"/>
                <w:szCs w:val="16"/>
              </w:rPr>
              <w:t>Capital total (comme pourcentage de fonds à risques pondérés)</w:t>
            </w:r>
          </w:p>
        </w:tc>
        <w:tc>
          <w:tcPr>
            <w:tcW w:w="1620" w:type="dxa"/>
            <w:tcBorders>
              <w:top w:val="nil"/>
              <w:left w:val="nil"/>
              <w:bottom w:val="single" w:sz="4" w:space="0" w:color="000000"/>
              <w:right w:val="single" w:sz="4" w:space="0" w:color="000000"/>
            </w:tcBorders>
            <w:shd w:val="clear" w:color="000000" w:fill="FFFFFF"/>
            <w:hideMark/>
          </w:tcPr>
          <w:p w14:paraId="3E2F78E4" w14:textId="2D1EA2F2" w:rsidR="00DA343E" w:rsidRPr="00216C30" w:rsidRDefault="00DA343E">
            <w:pPr>
              <w:jc w:val="right"/>
              <w:rPr>
                <w:rFonts w:ascii="Arial" w:hAnsi="Arial" w:cs="Arial"/>
                <w:color w:val="000000"/>
                <w:sz w:val="20"/>
                <w:szCs w:val="20"/>
              </w:rPr>
            </w:pPr>
            <w:r>
              <w:rPr>
                <w:rFonts w:ascii="Arial" w:hAnsi="Arial"/>
                <w:color w:val="000000"/>
                <w:sz w:val="20"/>
                <w:szCs w:val="20"/>
              </w:rPr>
              <w:t xml:space="preserve">           17,12 </w:t>
            </w:r>
          </w:p>
        </w:tc>
      </w:tr>
      <w:tr w:rsidR="00D22C6D" w:rsidRPr="00864AD4" w14:paraId="6BB26503" w14:textId="77777777" w:rsidTr="00622367">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5D3A1795"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69</w:t>
            </w:r>
          </w:p>
        </w:tc>
        <w:tc>
          <w:tcPr>
            <w:tcW w:w="7788" w:type="dxa"/>
            <w:tcBorders>
              <w:top w:val="single" w:sz="4" w:space="0" w:color="000000"/>
              <w:left w:val="nil"/>
              <w:bottom w:val="single" w:sz="4" w:space="0" w:color="000000"/>
              <w:right w:val="single" w:sz="4" w:space="0" w:color="000000"/>
            </w:tcBorders>
            <w:shd w:val="clear" w:color="000000" w:fill="FFFFFF"/>
            <w:hideMark/>
          </w:tcPr>
          <w:p w14:paraId="18A7A8E4" w14:textId="77777777" w:rsidR="00D22C6D" w:rsidRPr="00424CC3" w:rsidRDefault="00D22C6D" w:rsidP="00F762BF">
            <w:pPr>
              <w:spacing w:before="60"/>
              <w:jc w:val="left"/>
              <w:rPr>
                <w:rFonts w:ascii="Arial" w:hAnsi="Arial" w:cs="Arial"/>
                <w:color w:val="000000"/>
                <w:sz w:val="16"/>
                <w:szCs w:val="16"/>
              </w:rPr>
            </w:pPr>
            <w:r>
              <w:rPr>
                <w:rFonts w:ascii="Arial" w:hAnsi="Arial"/>
                <w:color w:val="000000"/>
                <w:sz w:val="16"/>
                <w:szCs w:val="16"/>
              </w:rPr>
              <w:t xml:space="preserve">Valeur réelle du ratio cible du </w:t>
            </w:r>
            <w:proofErr w:type="spellStart"/>
            <w:r>
              <w:rPr>
                <w:rFonts w:ascii="Arial" w:hAnsi="Arial"/>
                <w:color w:val="000000"/>
                <w:sz w:val="16"/>
                <w:szCs w:val="16"/>
              </w:rPr>
              <w:t>capital actions</w:t>
            </w:r>
            <w:proofErr w:type="spellEnd"/>
            <w:r>
              <w:rPr>
                <w:rFonts w:ascii="Arial" w:hAnsi="Arial"/>
                <w:color w:val="000000"/>
                <w:sz w:val="16"/>
                <w:szCs w:val="16"/>
              </w:rPr>
              <w:t>-ordinaire catégorie 1</w:t>
            </w:r>
          </w:p>
        </w:tc>
        <w:tc>
          <w:tcPr>
            <w:tcW w:w="1620" w:type="dxa"/>
            <w:tcBorders>
              <w:top w:val="nil"/>
              <w:left w:val="nil"/>
              <w:bottom w:val="single" w:sz="4" w:space="0" w:color="000000"/>
              <w:right w:val="single" w:sz="4" w:space="0" w:color="000000"/>
            </w:tcBorders>
            <w:shd w:val="clear" w:color="000000" w:fill="FFFFFF"/>
            <w:hideMark/>
          </w:tcPr>
          <w:p w14:paraId="7306ECAC" w14:textId="77777777" w:rsidR="00D22C6D" w:rsidRPr="00216C30" w:rsidRDefault="00D22C6D" w:rsidP="00F762BF">
            <w:pPr>
              <w:jc w:val="right"/>
              <w:rPr>
                <w:rFonts w:ascii="Arial" w:hAnsi="Arial" w:cs="Arial"/>
                <w:sz w:val="20"/>
                <w:szCs w:val="20"/>
              </w:rPr>
            </w:pPr>
            <w:r>
              <w:rPr>
                <w:rFonts w:ascii="Arial" w:hAnsi="Arial"/>
                <w:sz w:val="20"/>
                <w:szCs w:val="20"/>
              </w:rPr>
              <w:t>7,0</w:t>
            </w:r>
          </w:p>
        </w:tc>
      </w:tr>
      <w:tr w:rsidR="00D22C6D" w:rsidRPr="00864AD4" w14:paraId="3E6B645B" w14:textId="77777777" w:rsidTr="00D22C6D">
        <w:trPr>
          <w:trHeight w:val="266"/>
        </w:trPr>
        <w:tc>
          <w:tcPr>
            <w:tcW w:w="582" w:type="dxa"/>
            <w:tcBorders>
              <w:top w:val="nil"/>
              <w:left w:val="single" w:sz="4" w:space="0" w:color="000000"/>
              <w:bottom w:val="single" w:sz="4" w:space="0" w:color="000000"/>
              <w:right w:val="single" w:sz="4" w:space="0" w:color="000000"/>
            </w:tcBorders>
            <w:shd w:val="clear" w:color="000000" w:fill="FFFFFF"/>
            <w:hideMark/>
          </w:tcPr>
          <w:p w14:paraId="35DA1EE6"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70</w:t>
            </w:r>
          </w:p>
        </w:tc>
        <w:tc>
          <w:tcPr>
            <w:tcW w:w="7788" w:type="dxa"/>
            <w:tcBorders>
              <w:top w:val="nil"/>
              <w:left w:val="nil"/>
              <w:bottom w:val="single" w:sz="4" w:space="0" w:color="000000"/>
              <w:right w:val="single" w:sz="4" w:space="0" w:color="000000"/>
            </w:tcBorders>
            <w:shd w:val="clear" w:color="000000" w:fill="FFFFFF"/>
            <w:hideMark/>
          </w:tcPr>
          <w:p w14:paraId="0BE02C4F" w14:textId="77777777" w:rsidR="00D22C6D" w:rsidRPr="00424CC3" w:rsidRDefault="00D22C6D" w:rsidP="00F762BF">
            <w:pPr>
              <w:spacing w:before="60"/>
              <w:jc w:val="left"/>
              <w:rPr>
                <w:rFonts w:ascii="Arial" w:hAnsi="Arial" w:cs="Arial"/>
                <w:color w:val="000000"/>
                <w:sz w:val="16"/>
                <w:szCs w:val="16"/>
              </w:rPr>
            </w:pPr>
            <w:r>
              <w:rPr>
                <w:rFonts w:ascii="Arial" w:hAnsi="Arial"/>
                <w:color w:val="000000"/>
                <w:sz w:val="16"/>
                <w:szCs w:val="16"/>
              </w:rPr>
              <w:t>Valeur réelle du ratio cible du capital catégorie 1</w:t>
            </w:r>
          </w:p>
        </w:tc>
        <w:tc>
          <w:tcPr>
            <w:tcW w:w="1620" w:type="dxa"/>
            <w:tcBorders>
              <w:top w:val="nil"/>
              <w:left w:val="nil"/>
              <w:bottom w:val="single" w:sz="4" w:space="0" w:color="000000"/>
              <w:right w:val="single" w:sz="4" w:space="0" w:color="000000"/>
            </w:tcBorders>
            <w:shd w:val="clear" w:color="000000" w:fill="FFFFFF"/>
            <w:hideMark/>
          </w:tcPr>
          <w:p w14:paraId="32108281" w14:textId="77777777" w:rsidR="00D22C6D" w:rsidRPr="00216C30" w:rsidRDefault="00D22C6D" w:rsidP="00F762BF">
            <w:pPr>
              <w:jc w:val="right"/>
              <w:rPr>
                <w:rFonts w:ascii="Arial" w:hAnsi="Arial" w:cs="Arial"/>
                <w:sz w:val="20"/>
                <w:szCs w:val="20"/>
              </w:rPr>
            </w:pPr>
            <w:r>
              <w:rPr>
                <w:rFonts w:ascii="Arial" w:hAnsi="Arial"/>
                <w:sz w:val="20"/>
                <w:szCs w:val="20"/>
              </w:rPr>
              <w:t>8,5</w:t>
            </w:r>
          </w:p>
        </w:tc>
      </w:tr>
      <w:tr w:rsidR="00D22C6D" w:rsidRPr="00864AD4" w14:paraId="1D346A40" w14:textId="77777777" w:rsidTr="00D22C6D">
        <w:trPr>
          <w:trHeight w:val="266"/>
        </w:trPr>
        <w:tc>
          <w:tcPr>
            <w:tcW w:w="582" w:type="dxa"/>
            <w:tcBorders>
              <w:top w:val="single" w:sz="4" w:space="0" w:color="000000"/>
              <w:left w:val="single" w:sz="4" w:space="0" w:color="000000"/>
              <w:bottom w:val="single" w:sz="4" w:space="0" w:color="000000"/>
              <w:right w:val="single" w:sz="4" w:space="0" w:color="000000"/>
            </w:tcBorders>
            <w:shd w:val="clear" w:color="000000" w:fill="FFFFFF"/>
            <w:hideMark/>
          </w:tcPr>
          <w:p w14:paraId="38F5DA90" w14:textId="77777777" w:rsidR="00D22C6D" w:rsidRPr="00864AD4" w:rsidRDefault="00D22C6D" w:rsidP="009323ED">
            <w:pPr>
              <w:spacing w:before="60"/>
              <w:jc w:val="left"/>
              <w:rPr>
                <w:rFonts w:ascii="Arial" w:hAnsi="Arial" w:cs="Arial"/>
                <w:color w:val="000000"/>
                <w:sz w:val="16"/>
                <w:szCs w:val="16"/>
              </w:rPr>
            </w:pPr>
            <w:r>
              <w:rPr>
                <w:rFonts w:ascii="Arial" w:hAnsi="Arial"/>
                <w:color w:val="000000"/>
                <w:sz w:val="16"/>
                <w:szCs w:val="16"/>
              </w:rPr>
              <w:t>71</w:t>
            </w:r>
          </w:p>
        </w:tc>
        <w:tc>
          <w:tcPr>
            <w:tcW w:w="7788" w:type="dxa"/>
            <w:tcBorders>
              <w:top w:val="single" w:sz="4" w:space="0" w:color="000000"/>
              <w:left w:val="nil"/>
              <w:bottom w:val="single" w:sz="4" w:space="0" w:color="000000"/>
              <w:right w:val="single" w:sz="4" w:space="0" w:color="000000"/>
            </w:tcBorders>
            <w:shd w:val="clear" w:color="000000" w:fill="FFFFFF"/>
            <w:hideMark/>
          </w:tcPr>
          <w:p w14:paraId="4ACEA88B" w14:textId="77777777" w:rsidR="00D22C6D" w:rsidRPr="00424CC3" w:rsidRDefault="00D22C6D" w:rsidP="00F762BF">
            <w:pPr>
              <w:spacing w:before="60"/>
              <w:jc w:val="left"/>
              <w:rPr>
                <w:rFonts w:ascii="Arial" w:hAnsi="Arial" w:cs="Arial"/>
                <w:color w:val="000000"/>
                <w:sz w:val="16"/>
                <w:szCs w:val="16"/>
              </w:rPr>
            </w:pPr>
            <w:r>
              <w:rPr>
                <w:rFonts w:ascii="Arial" w:hAnsi="Arial"/>
                <w:color w:val="000000"/>
                <w:sz w:val="16"/>
                <w:szCs w:val="16"/>
              </w:rPr>
              <w:t>Valeur réelle du ratio cible du capital total</w:t>
            </w:r>
          </w:p>
        </w:tc>
        <w:tc>
          <w:tcPr>
            <w:tcW w:w="1620" w:type="dxa"/>
            <w:tcBorders>
              <w:top w:val="single" w:sz="4" w:space="0" w:color="000000"/>
              <w:left w:val="nil"/>
              <w:bottom w:val="single" w:sz="4" w:space="0" w:color="000000"/>
              <w:right w:val="single" w:sz="4" w:space="0" w:color="000000"/>
            </w:tcBorders>
            <w:shd w:val="clear" w:color="000000" w:fill="FFFFFF"/>
            <w:hideMark/>
          </w:tcPr>
          <w:p w14:paraId="7524BB5A" w14:textId="77777777" w:rsidR="00D22C6D" w:rsidRPr="00216C30" w:rsidRDefault="00D22C6D" w:rsidP="00F762BF">
            <w:pPr>
              <w:jc w:val="right"/>
              <w:rPr>
                <w:rFonts w:ascii="Arial" w:hAnsi="Arial" w:cs="Arial"/>
                <w:sz w:val="20"/>
                <w:szCs w:val="20"/>
              </w:rPr>
            </w:pPr>
            <w:r>
              <w:rPr>
                <w:rFonts w:ascii="Arial" w:hAnsi="Arial"/>
                <w:sz w:val="20"/>
                <w:szCs w:val="20"/>
              </w:rPr>
              <w:t>10,5</w:t>
            </w:r>
          </w:p>
        </w:tc>
      </w:tr>
    </w:tbl>
    <w:p w14:paraId="7EDCEB25" w14:textId="77777777" w:rsidR="0032369F" w:rsidRDefault="0032369F" w:rsidP="00E53226">
      <w:pPr>
        <w:rPr>
          <w:lang w:val="en-US"/>
        </w:rPr>
      </w:pPr>
    </w:p>
    <w:p w14:paraId="7C35D8BC" w14:textId="77777777" w:rsidR="00B0230E" w:rsidRDefault="00B0230E" w:rsidP="00E53226">
      <w:pPr>
        <w:rPr>
          <w:lang w:val="en-US"/>
        </w:rPr>
      </w:pPr>
    </w:p>
    <w:p w14:paraId="38C88C86" w14:textId="77777777" w:rsidR="00663568" w:rsidRDefault="00663568" w:rsidP="00E53226">
      <w:pPr>
        <w:rPr>
          <w:lang w:val="en-US"/>
        </w:rPr>
      </w:pPr>
    </w:p>
    <w:p w14:paraId="00C3BDA3" w14:textId="77777777" w:rsidR="00D22C6D" w:rsidRDefault="00D22C6D" w:rsidP="00E53226">
      <w:pPr>
        <w:rPr>
          <w:lang w:val="en-US"/>
        </w:rPr>
      </w:pPr>
    </w:p>
    <w:p w14:paraId="704EB83B" w14:textId="77777777" w:rsidR="00D22C6D" w:rsidRDefault="00D22C6D" w:rsidP="00E53226">
      <w:pPr>
        <w:rPr>
          <w:lang w:val="en-US"/>
        </w:rPr>
      </w:pPr>
    </w:p>
    <w:p w14:paraId="16FE9B1C" w14:textId="77777777" w:rsidR="0092040D" w:rsidRDefault="0092040D" w:rsidP="00E53226">
      <w:pPr>
        <w:rPr>
          <w:lang w:val="en-US"/>
        </w:rPr>
      </w:pPr>
    </w:p>
    <w:p w14:paraId="409140F0" w14:textId="77777777" w:rsidR="0092040D" w:rsidRDefault="0092040D" w:rsidP="00E53226">
      <w:pPr>
        <w:rPr>
          <w:lang w:val="en-US"/>
        </w:rPr>
      </w:pPr>
    </w:p>
    <w:p w14:paraId="1F7500C5" w14:textId="77777777" w:rsidR="00F762BF" w:rsidRDefault="00F762BF" w:rsidP="00E53226">
      <w:pPr>
        <w:rPr>
          <w:lang w:val="en-US"/>
        </w:rPr>
      </w:pPr>
    </w:p>
    <w:p w14:paraId="66AB4747" w14:textId="77777777" w:rsidR="00F762BF" w:rsidRDefault="00F762BF" w:rsidP="00E53226">
      <w:pPr>
        <w:rPr>
          <w:lang w:val="en-US"/>
        </w:rPr>
      </w:pPr>
    </w:p>
    <w:p w14:paraId="53DA5418" w14:textId="77777777" w:rsidR="00D22C6D" w:rsidRDefault="00D22C6D" w:rsidP="00E53226">
      <w:pPr>
        <w:rPr>
          <w:lang w:val="en-US"/>
        </w:rPr>
      </w:pPr>
    </w:p>
    <w:tbl>
      <w:tblPr>
        <w:tblW w:w="10144" w:type="dxa"/>
        <w:tblInd w:w="-432" w:type="dxa"/>
        <w:tblLook w:val="04A0" w:firstRow="1" w:lastRow="0" w:firstColumn="1" w:lastColumn="0" w:noHBand="0" w:noVBand="1"/>
      </w:tblPr>
      <w:tblGrid>
        <w:gridCol w:w="591"/>
        <w:gridCol w:w="8173"/>
        <w:gridCol w:w="1380"/>
      </w:tblGrid>
      <w:tr w:rsidR="00663568" w:rsidRPr="00663568" w14:paraId="705125EF" w14:textId="77777777" w:rsidTr="00663568">
        <w:trPr>
          <w:trHeight w:val="370"/>
        </w:trPr>
        <w:tc>
          <w:tcPr>
            <w:tcW w:w="8764" w:type="dxa"/>
            <w:gridSpan w:val="2"/>
            <w:tcBorders>
              <w:top w:val="single" w:sz="8" w:space="0" w:color="000000"/>
              <w:left w:val="single" w:sz="8" w:space="0" w:color="000000"/>
              <w:bottom w:val="single" w:sz="8" w:space="0" w:color="auto"/>
              <w:right w:val="nil"/>
            </w:tcBorders>
            <w:shd w:val="clear" w:color="000000" w:fill="FFFFFF"/>
            <w:vAlign w:val="center"/>
            <w:hideMark/>
          </w:tcPr>
          <w:p w14:paraId="79D90CBC" w14:textId="77777777" w:rsidR="00663568" w:rsidRPr="00216C30" w:rsidRDefault="00663568" w:rsidP="00663568">
            <w:pPr>
              <w:jc w:val="left"/>
              <w:rPr>
                <w:rFonts w:ascii="Arial" w:hAnsi="Arial" w:cs="Arial"/>
                <w:b/>
                <w:bCs/>
                <w:color w:val="000000"/>
                <w:sz w:val="28"/>
                <w:szCs w:val="28"/>
              </w:rPr>
            </w:pPr>
            <w:r>
              <w:rPr>
                <w:rFonts w:ascii="Arial" w:hAnsi="Arial"/>
                <w:b/>
                <w:bCs/>
                <w:color w:val="000000"/>
                <w:sz w:val="28"/>
                <w:szCs w:val="28"/>
              </w:rPr>
              <w:t>CADRE DE RATIO DE LEVIER</w:t>
            </w:r>
          </w:p>
        </w:tc>
        <w:tc>
          <w:tcPr>
            <w:tcW w:w="1380" w:type="dxa"/>
            <w:tcBorders>
              <w:top w:val="single" w:sz="8" w:space="0" w:color="000000"/>
              <w:left w:val="nil"/>
              <w:bottom w:val="single" w:sz="8" w:space="0" w:color="auto"/>
              <w:right w:val="single" w:sz="8" w:space="0" w:color="000000"/>
            </w:tcBorders>
            <w:shd w:val="clear" w:color="000000" w:fill="FFFFFF"/>
            <w:hideMark/>
          </w:tcPr>
          <w:p w14:paraId="16CA7758" w14:textId="77777777" w:rsidR="00663568" w:rsidRPr="00216C30" w:rsidRDefault="00663568" w:rsidP="00663568">
            <w:pPr>
              <w:jc w:val="center"/>
              <w:rPr>
                <w:rFonts w:ascii="Arial" w:hAnsi="Arial" w:cs="Arial"/>
                <w:b/>
                <w:bCs/>
                <w:color w:val="000000"/>
                <w:sz w:val="22"/>
                <w:szCs w:val="22"/>
              </w:rPr>
            </w:pPr>
            <w:r>
              <w:rPr>
                <w:rFonts w:ascii="Arial" w:hAnsi="Arial"/>
                <w:b/>
                <w:bCs/>
                <w:color w:val="000000"/>
                <w:sz w:val="22"/>
                <w:szCs w:val="22"/>
              </w:rPr>
              <w:t> </w:t>
            </w:r>
          </w:p>
        </w:tc>
      </w:tr>
      <w:tr w:rsidR="00663568" w:rsidRPr="00663568" w14:paraId="6D8EFB98" w14:textId="77777777" w:rsidTr="00663568">
        <w:trPr>
          <w:trHeight w:val="284"/>
        </w:trPr>
        <w:tc>
          <w:tcPr>
            <w:tcW w:w="10144" w:type="dxa"/>
            <w:gridSpan w:val="3"/>
            <w:tcBorders>
              <w:top w:val="single" w:sz="8" w:space="0" w:color="auto"/>
              <w:left w:val="single" w:sz="8" w:space="0" w:color="auto"/>
              <w:bottom w:val="single" w:sz="8" w:space="0" w:color="auto"/>
              <w:right w:val="single" w:sz="8" w:space="0" w:color="000000"/>
            </w:tcBorders>
            <w:shd w:val="clear" w:color="000000" w:fill="BEBEBE"/>
            <w:hideMark/>
          </w:tcPr>
          <w:p w14:paraId="74294027" w14:textId="77777777" w:rsidR="00663568" w:rsidRPr="00864AD4" w:rsidRDefault="00663568" w:rsidP="00663568">
            <w:pPr>
              <w:jc w:val="center"/>
              <w:rPr>
                <w:rFonts w:ascii="Arial" w:hAnsi="Arial" w:cs="Arial"/>
                <w:b/>
                <w:bCs/>
                <w:color w:val="000000"/>
                <w:sz w:val="16"/>
                <w:szCs w:val="16"/>
              </w:rPr>
            </w:pPr>
            <w:r>
              <w:rPr>
                <w:rFonts w:ascii="Arial" w:hAnsi="Arial"/>
                <w:b/>
                <w:bCs/>
                <w:color w:val="000000"/>
                <w:sz w:val="16"/>
                <w:szCs w:val="16"/>
              </w:rPr>
              <w:t>Expositions au bilan</w:t>
            </w:r>
          </w:p>
        </w:tc>
      </w:tr>
      <w:tr w:rsidR="00DA343E" w:rsidRPr="00663568" w14:paraId="48A519A8" w14:textId="77777777" w:rsidTr="00663568">
        <w:trPr>
          <w:trHeight w:val="256"/>
        </w:trPr>
        <w:tc>
          <w:tcPr>
            <w:tcW w:w="591" w:type="dxa"/>
            <w:tcBorders>
              <w:top w:val="nil"/>
              <w:left w:val="single" w:sz="8" w:space="0" w:color="000000"/>
              <w:bottom w:val="single" w:sz="8" w:space="0" w:color="000000"/>
              <w:right w:val="single" w:sz="8" w:space="0" w:color="000000"/>
            </w:tcBorders>
            <w:shd w:val="clear" w:color="000000" w:fill="FFFFFF"/>
            <w:hideMark/>
          </w:tcPr>
          <w:p w14:paraId="2156F7EC" w14:textId="77777777" w:rsidR="00DA343E" w:rsidRPr="00864AD4" w:rsidRDefault="00DA343E" w:rsidP="00663568">
            <w:pPr>
              <w:jc w:val="center"/>
              <w:rPr>
                <w:rFonts w:ascii="Arial" w:hAnsi="Arial" w:cs="Arial"/>
                <w:color w:val="000000"/>
                <w:sz w:val="16"/>
                <w:szCs w:val="16"/>
              </w:rPr>
            </w:pPr>
            <w:r>
              <w:rPr>
                <w:rFonts w:ascii="Arial" w:hAnsi="Arial"/>
                <w:color w:val="000000"/>
                <w:sz w:val="16"/>
                <w:szCs w:val="16"/>
              </w:rPr>
              <w:t>1</w:t>
            </w:r>
          </w:p>
        </w:tc>
        <w:tc>
          <w:tcPr>
            <w:tcW w:w="8173" w:type="dxa"/>
            <w:tcBorders>
              <w:top w:val="nil"/>
              <w:left w:val="nil"/>
              <w:bottom w:val="single" w:sz="8" w:space="0" w:color="000000"/>
              <w:right w:val="single" w:sz="8" w:space="0" w:color="000000"/>
            </w:tcBorders>
            <w:shd w:val="clear" w:color="000000" w:fill="FFFFFF"/>
            <w:hideMark/>
          </w:tcPr>
          <w:p w14:paraId="2071DC66" w14:textId="2B55034B" w:rsidR="00DA343E" w:rsidRPr="00864AD4" w:rsidRDefault="00DA343E" w:rsidP="00663568">
            <w:pPr>
              <w:jc w:val="left"/>
              <w:rPr>
                <w:rFonts w:ascii="Arial" w:hAnsi="Arial" w:cs="Arial"/>
                <w:color w:val="000000"/>
                <w:sz w:val="16"/>
                <w:szCs w:val="16"/>
              </w:rPr>
            </w:pPr>
            <w:r>
              <w:rPr>
                <w:rFonts w:ascii="Arial" w:hAnsi="Arial"/>
                <w:color w:val="000000"/>
                <w:sz w:val="16"/>
                <w:szCs w:val="16"/>
              </w:rPr>
              <w:t xml:space="preserve"> Éléments du bilan (excluant les dérivés, les cessions temporaires de titres et les expositions de titrisation de droits acquis mais incluant le collatéral)</w:t>
            </w:r>
          </w:p>
        </w:tc>
        <w:tc>
          <w:tcPr>
            <w:tcW w:w="1380" w:type="dxa"/>
            <w:tcBorders>
              <w:top w:val="nil"/>
              <w:left w:val="nil"/>
              <w:bottom w:val="single" w:sz="8" w:space="0" w:color="000000"/>
              <w:right w:val="single" w:sz="8" w:space="0" w:color="000000"/>
            </w:tcBorders>
            <w:shd w:val="clear" w:color="000000" w:fill="FFFFFF"/>
            <w:hideMark/>
          </w:tcPr>
          <w:p w14:paraId="4B20E95B" w14:textId="0B5DF044" w:rsidR="00DA343E" w:rsidRPr="00216C30" w:rsidRDefault="00DA343E">
            <w:pPr>
              <w:jc w:val="right"/>
              <w:rPr>
                <w:rFonts w:ascii="Arial" w:hAnsi="Arial" w:cs="Arial"/>
                <w:color w:val="000000"/>
                <w:sz w:val="20"/>
                <w:szCs w:val="20"/>
              </w:rPr>
            </w:pPr>
            <w:r>
              <w:rPr>
                <w:rFonts w:ascii="Arial" w:hAnsi="Arial"/>
                <w:color w:val="000000"/>
                <w:sz w:val="20"/>
                <w:szCs w:val="20"/>
              </w:rPr>
              <w:t xml:space="preserve">1 520 017 </w:t>
            </w:r>
          </w:p>
        </w:tc>
      </w:tr>
      <w:tr w:rsidR="00DA343E" w:rsidRPr="00663568" w14:paraId="466C0662"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00D61475" w14:textId="77777777" w:rsidR="00DA343E" w:rsidRPr="00864AD4" w:rsidRDefault="00DA343E" w:rsidP="00663568">
            <w:pPr>
              <w:jc w:val="center"/>
              <w:rPr>
                <w:rFonts w:ascii="Arial" w:hAnsi="Arial" w:cs="Arial"/>
                <w:color w:val="000000"/>
                <w:sz w:val="16"/>
                <w:szCs w:val="16"/>
              </w:rPr>
            </w:pPr>
            <w:r>
              <w:rPr>
                <w:rFonts w:ascii="Arial" w:hAnsi="Arial"/>
                <w:color w:val="000000"/>
                <w:sz w:val="16"/>
                <w:szCs w:val="16"/>
              </w:rPr>
              <w:t>2</w:t>
            </w:r>
          </w:p>
        </w:tc>
        <w:tc>
          <w:tcPr>
            <w:tcW w:w="8173" w:type="dxa"/>
            <w:tcBorders>
              <w:top w:val="nil"/>
              <w:left w:val="nil"/>
              <w:bottom w:val="single" w:sz="8" w:space="0" w:color="000000"/>
              <w:right w:val="single" w:sz="8" w:space="0" w:color="000000"/>
            </w:tcBorders>
            <w:shd w:val="clear" w:color="000000" w:fill="FFFFFF"/>
            <w:hideMark/>
          </w:tcPr>
          <w:p w14:paraId="2FDB787D" w14:textId="18FFE085" w:rsidR="00DA343E" w:rsidRPr="00424CC3" w:rsidRDefault="00DA343E" w:rsidP="00663568">
            <w:pPr>
              <w:jc w:val="left"/>
              <w:rPr>
                <w:rFonts w:ascii="Arial" w:hAnsi="Arial" w:cs="Arial"/>
                <w:color w:val="000000"/>
                <w:sz w:val="16"/>
                <w:szCs w:val="16"/>
              </w:rPr>
            </w:pPr>
            <w:r>
              <w:rPr>
                <w:rFonts w:ascii="Arial" w:hAnsi="Arial"/>
                <w:color w:val="000000"/>
                <w:sz w:val="16"/>
                <w:szCs w:val="16"/>
              </w:rPr>
              <w:t>(Montants des actifs déduits en déterminant le capital réel Bâle III, catégorie 1)</w:t>
            </w:r>
          </w:p>
        </w:tc>
        <w:tc>
          <w:tcPr>
            <w:tcW w:w="1380" w:type="dxa"/>
            <w:tcBorders>
              <w:top w:val="nil"/>
              <w:left w:val="nil"/>
              <w:bottom w:val="single" w:sz="8" w:space="0" w:color="000000"/>
              <w:right w:val="single" w:sz="8" w:space="0" w:color="000000"/>
            </w:tcBorders>
            <w:shd w:val="clear" w:color="000000" w:fill="FFFFFF"/>
            <w:hideMark/>
          </w:tcPr>
          <w:p w14:paraId="11AA1ECB" w14:textId="2DD705B8" w:rsidR="00DA343E" w:rsidRPr="00216C30" w:rsidRDefault="00DA343E">
            <w:pPr>
              <w:jc w:val="right"/>
              <w:rPr>
                <w:rFonts w:ascii="Arial" w:hAnsi="Arial" w:cs="Arial"/>
                <w:color w:val="000000"/>
                <w:sz w:val="20"/>
                <w:szCs w:val="20"/>
              </w:rPr>
            </w:pPr>
            <w:r>
              <w:rPr>
                <w:rFonts w:ascii="Arial" w:hAnsi="Arial"/>
                <w:color w:val="000000"/>
                <w:sz w:val="20"/>
                <w:szCs w:val="20"/>
              </w:rPr>
              <w:t>(3 905)</w:t>
            </w:r>
          </w:p>
        </w:tc>
      </w:tr>
      <w:tr w:rsidR="00DA343E" w:rsidRPr="00663568" w14:paraId="5FD85681" w14:textId="77777777" w:rsidTr="00663568">
        <w:trPr>
          <w:trHeight w:val="299"/>
        </w:trPr>
        <w:tc>
          <w:tcPr>
            <w:tcW w:w="591" w:type="dxa"/>
            <w:tcBorders>
              <w:top w:val="nil"/>
              <w:left w:val="single" w:sz="8" w:space="0" w:color="000000"/>
              <w:bottom w:val="single" w:sz="8" w:space="0" w:color="D9D9D9"/>
              <w:right w:val="single" w:sz="8" w:space="0" w:color="000000"/>
            </w:tcBorders>
            <w:shd w:val="clear" w:color="000000" w:fill="D9D9D9"/>
            <w:hideMark/>
          </w:tcPr>
          <w:p w14:paraId="393DBB60" w14:textId="77777777" w:rsidR="00DA343E" w:rsidRPr="00864AD4" w:rsidRDefault="00DA343E" w:rsidP="00663568">
            <w:pPr>
              <w:jc w:val="center"/>
              <w:rPr>
                <w:rFonts w:ascii="Arial" w:hAnsi="Arial" w:cs="Arial"/>
                <w:b/>
                <w:bCs/>
                <w:color w:val="000000"/>
                <w:sz w:val="16"/>
                <w:szCs w:val="16"/>
              </w:rPr>
            </w:pPr>
            <w:r>
              <w:rPr>
                <w:rFonts w:ascii="Arial" w:hAnsi="Arial"/>
                <w:b/>
                <w:bCs/>
                <w:color w:val="000000"/>
                <w:sz w:val="16"/>
                <w:szCs w:val="16"/>
              </w:rPr>
              <w:t>3</w:t>
            </w:r>
          </w:p>
        </w:tc>
        <w:tc>
          <w:tcPr>
            <w:tcW w:w="8173" w:type="dxa"/>
            <w:tcBorders>
              <w:top w:val="nil"/>
              <w:left w:val="nil"/>
              <w:bottom w:val="single" w:sz="8" w:space="0" w:color="D9D9D9"/>
              <w:right w:val="single" w:sz="8" w:space="0" w:color="000000"/>
            </w:tcBorders>
            <w:shd w:val="clear" w:color="000000" w:fill="D9D9D9"/>
            <w:hideMark/>
          </w:tcPr>
          <w:p w14:paraId="104A24E6" w14:textId="77777777" w:rsidR="00DA343E" w:rsidRPr="00864AD4" w:rsidRDefault="00DA343E" w:rsidP="00663568">
            <w:pPr>
              <w:jc w:val="left"/>
              <w:rPr>
                <w:rFonts w:ascii="Arial" w:hAnsi="Arial" w:cs="Arial"/>
                <w:b/>
                <w:bCs/>
                <w:color w:val="000000"/>
                <w:sz w:val="16"/>
                <w:szCs w:val="16"/>
              </w:rPr>
            </w:pPr>
            <w:r>
              <w:rPr>
                <w:rFonts w:ascii="Arial" w:hAnsi="Arial"/>
                <w:b/>
                <w:bCs/>
                <w:color w:val="000000"/>
                <w:sz w:val="16"/>
                <w:szCs w:val="16"/>
              </w:rPr>
              <w:t>Total des risques au bilan (</w:t>
            </w:r>
            <w:proofErr w:type="gramStart"/>
            <w:r>
              <w:rPr>
                <w:rFonts w:ascii="Arial" w:hAnsi="Arial"/>
                <w:b/>
                <w:bCs/>
                <w:color w:val="000000"/>
                <w:sz w:val="16"/>
                <w:szCs w:val="16"/>
              </w:rPr>
              <w:t>excluant  les</w:t>
            </w:r>
            <w:proofErr w:type="gramEnd"/>
            <w:r>
              <w:rPr>
                <w:rFonts w:ascii="Arial" w:hAnsi="Arial"/>
                <w:b/>
                <w:bCs/>
                <w:color w:val="000000"/>
                <w:sz w:val="16"/>
                <w:szCs w:val="16"/>
              </w:rPr>
              <w:t xml:space="preserve"> dérivés,  les cessions temporaires de titres) (somme des lignes 1 et 2)</w:t>
            </w:r>
          </w:p>
        </w:tc>
        <w:tc>
          <w:tcPr>
            <w:tcW w:w="1380" w:type="dxa"/>
            <w:tcBorders>
              <w:top w:val="nil"/>
              <w:left w:val="nil"/>
              <w:bottom w:val="single" w:sz="8" w:space="0" w:color="D9D9D9"/>
              <w:right w:val="single" w:sz="8" w:space="0" w:color="000000"/>
            </w:tcBorders>
            <w:shd w:val="clear" w:color="000000" w:fill="D9D9D9"/>
            <w:hideMark/>
          </w:tcPr>
          <w:p w14:paraId="077648ED" w14:textId="2D033358" w:rsidR="00DA343E" w:rsidRPr="00216C30" w:rsidRDefault="00DA343E">
            <w:pPr>
              <w:jc w:val="right"/>
              <w:rPr>
                <w:rFonts w:ascii="Arial" w:hAnsi="Arial" w:cs="Arial"/>
                <w:b/>
                <w:bCs/>
                <w:color w:val="000000"/>
                <w:sz w:val="20"/>
                <w:szCs w:val="20"/>
              </w:rPr>
            </w:pPr>
            <w:r>
              <w:rPr>
                <w:rFonts w:ascii="Arial" w:hAnsi="Arial"/>
                <w:b/>
                <w:bCs/>
                <w:color w:val="000000"/>
                <w:sz w:val="20"/>
                <w:szCs w:val="20"/>
              </w:rPr>
              <w:t xml:space="preserve">1 516 111 </w:t>
            </w:r>
          </w:p>
        </w:tc>
      </w:tr>
      <w:tr w:rsidR="00663568" w:rsidRPr="00663568" w14:paraId="63AC1185" w14:textId="77777777" w:rsidTr="00663568">
        <w:trPr>
          <w:trHeight w:val="299"/>
        </w:trPr>
        <w:tc>
          <w:tcPr>
            <w:tcW w:w="10144" w:type="dxa"/>
            <w:gridSpan w:val="3"/>
            <w:tcBorders>
              <w:top w:val="single" w:sz="8" w:space="0" w:color="auto"/>
              <w:left w:val="single" w:sz="8" w:space="0" w:color="auto"/>
              <w:bottom w:val="single" w:sz="8" w:space="0" w:color="auto"/>
              <w:right w:val="single" w:sz="8" w:space="0" w:color="000000"/>
            </w:tcBorders>
            <w:shd w:val="clear" w:color="000000" w:fill="BEBEBE"/>
            <w:hideMark/>
          </w:tcPr>
          <w:p w14:paraId="097B8BBA" w14:textId="77777777" w:rsidR="00663568" w:rsidRPr="00864AD4" w:rsidRDefault="00663568" w:rsidP="00663568">
            <w:pPr>
              <w:jc w:val="center"/>
              <w:rPr>
                <w:rFonts w:ascii="Arial" w:hAnsi="Arial" w:cs="Arial"/>
                <w:b/>
                <w:bCs/>
                <w:color w:val="000000"/>
                <w:sz w:val="16"/>
                <w:szCs w:val="16"/>
              </w:rPr>
            </w:pPr>
            <w:r>
              <w:rPr>
                <w:rFonts w:ascii="Arial" w:hAnsi="Arial"/>
                <w:b/>
                <w:bCs/>
                <w:color w:val="000000"/>
                <w:sz w:val="16"/>
                <w:szCs w:val="16"/>
              </w:rPr>
              <w:t>Exposition aux produits dérivés</w:t>
            </w:r>
          </w:p>
        </w:tc>
      </w:tr>
      <w:tr w:rsidR="00663568" w:rsidRPr="00663568" w14:paraId="742BFAE9"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B2908EF" w14:textId="77777777" w:rsidR="00663568" w:rsidRPr="00864AD4" w:rsidRDefault="00663568" w:rsidP="00663568">
            <w:pPr>
              <w:jc w:val="center"/>
              <w:rPr>
                <w:rFonts w:ascii="Arial" w:hAnsi="Arial" w:cs="Arial"/>
                <w:color w:val="000000"/>
                <w:sz w:val="16"/>
                <w:szCs w:val="16"/>
              </w:rPr>
            </w:pPr>
            <w:r>
              <w:rPr>
                <w:rFonts w:ascii="Arial" w:hAnsi="Arial"/>
                <w:color w:val="000000"/>
                <w:sz w:val="16"/>
                <w:szCs w:val="16"/>
              </w:rPr>
              <w:t>4</w:t>
            </w:r>
          </w:p>
        </w:tc>
        <w:tc>
          <w:tcPr>
            <w:tcW w:w="8173" w:type="dxa"/>
            <w:tcBorders>
              <w:top w:val="nil"/>
              <w:left w:val="nil"/>
              <w:bottom w:val="single" w:sz="8" w:space="0" w:color="000000"/>
              <w:right w:val="single" w:sz="8" w:space="0" w:color="000000"/>
            </w:tcBorders>
            <w:shd w:val="clear" w:color="000000" w:fill="FFFFFF"/>
            <w:hideMark/>
          </w:tcPr>
          <w:p w14:paraId="5048AF0F" w14:textId="77777777" w:rsidR="00663568" w:rsidRPr="00424CC3" w:rsidRDefault="00663568" w:rsidP="00663568">
            <w:pPr>
              <w:jc w:val="left"/>
              <w:rPr>
                <w:rFonts w:ascii="Arial" w:hAnsi="Arial" w:cs="Arial"/>
                <w:color w:val="000000"/>
                <w:sz w:val="16"/>
                <w:szCs w:val="16"/>
              </w:rPr>
            </w:pPr>
            <w:r>
              <w:rPr>
                <w:rFonts w:ascii="Arial" w:hAnsi="Arial"/>
                <w:color w:val="000000"/>
                <w:sz w:val="16"/>
                <w:szCs w:val="16"/>
              </w:rPr>
              <w:t>Valeur de remplacement associée à toutes les transactions sur produits dérivés (ex. : la valeur nette de la marge de variation admissible sur l’argent)</w:t>
            </w:r>
          </w:p>
        </w:tc>
        <w:tc>
          <w:tcPr>
            <w:tcW w:w="1380" w:type="dxa"/>
            <w:tcBorders>
              <w:top w:val="nil"/>
              <w:left w:val="nil"/>
              <w:bottom w:val="single" w:sz="8" w:space="0" w:color="000000"/>
              <w:right w:val="single" w:sz="8" w:space="0" w:color="000000"/>
            </w:tcBorders>
            <w:shd w:val="clear" w:color="000000" w:fill="FFFFFF"/>
            <w:hideMark/>
          </w:tcPr>
          <w:p w14:paraId="0F70C46B" w14:textId="77777777" w:rsidR="00663568" w:rsidRPr="00216C30" w:rsidRDefault="00663568" w:rsidP="00663568">
            <w:pPr>
              <w:jc w:val="right"/>
              <w:rPr>
                <w:rFonts w:ascii="Arial" w:hAnsi="Arial" w:cs="Arial"/>
                <w:color w:val="000000"/>
                <w:sz w:val="20"/>
                <w:szCs w:val="20"/>
              </w:rPr>
            </w:pPr>
            <w:r>
              <w:rPr>
                <w:rFonts w:ascii="Arial" w:hAnsi="Arial"/>
                <w:color w:val="000000"/>
                <w:sz w:val="20"/>
                <w:szCs w:val="20"/>
              </w:rPr>
              <w:t> </w:t>
            </w:r>
          </w:p>
        </w:tc>
      </w:tr>
      <w:tr w:rsidR="00663568" w:rsidRPr="00663568" w14:paraId="4A645F47"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645A5C5" w14:textId="77777777" w:rsidR="00663568" w:rsidRPr="00864AD4" w:rsidRDefault="00663568" w:rsidP="00663568">
            <w:pPr>
              <w:jc w:val="center"/>
              <w:rPr>
                <w:rFonts w:ascii="Arial" w:hAnsi="Arial" w:cs="Arial"/>
                <w:color w:val="000000"/>
                <w:sz w:val="16"/>
                <w:szCs w:val="16"/>
              </w:rPr>
            </w:pPr>
            <w:r>
              <w:rPr>
                <w:rFonts w:ascii="Arial" w:hAnsi="Arial"/>
                <w:color w:val="000000"/>
                <w:sz w:val="16"/>
                <w:szCs w:val="16"/>
              </w:rPr>
              <w:t>5</w:t>
            </w:r>
          </w:p>
        </w:tc>
        <w:tc>
          <w:tcPr>
            <w:tcW w:w="8173" w:type="dxa"/>
            <w:tcBorders>
              <w:top w:val="nil"/>
              <w:left w:val="nil"/>
              <w:bottom w:val="single" w:sz="8" w:space="0" w:color="000000"/>
              <w:right w:val="single" w:sz="8" w:space="0" w:color="000000"/>
            </w:tcBorders>
            <w:shd w:val="clear" w:color="000000" w:fill="FFFFFF"/>
            <w:hideMark/>
          </w:tcPr>
          <w:p w14:paraId="48F54A69" w14:textId="77777777" w:rsidR="00663568" w:rsidRPr="00864AD4" w:rsidRDefault="00663568" w:rsidP="00663568">
            <w:pPr>
              <w:jc w:val="left"/>
              <w:rPr>
                <w:rFonts w:ascii="Arial" w:hAnsi="Arial" w:cs="Arial"/>
                <w:color w:val="000000"/>
                <w:sz w:val="16"/>
                <w:szCs w:val="16"/>
              </w:rPr>
            </w:pPr>
            <w:r>
              <w:rPr>
                <w:rFonts w:ascii="Arial" w:hAnsi="Arial"/>
                <w:color w:val="000000"/>
                <w:sz w:val="16"/>
                <w:szCs w:val="16"/>
              </w:rPr>
              <w:t>Montants supplémentaires pour les expositions futures potentielles associés avec les transactions dérivées</w:t>
            </w:r>
          </w:p>
        </w:tc>
        <w:tc>
          <w:tcPr>
            <w:tcW w:w="1380" w:type="dxa"/>
            <w:tcBorders>
              <w:top w:val="nil"/>
              <w:left w:val="nil"/>
              <w:bottom w:val="single" w:sz="8" w:space="0" w:color="000000"/>
              <w:right w:val="single" w:sz="8" w:space="0" w:color="000000"/>
            </w:tcBorders>
            <w:shd w:val="clear" w:color="000000" w:fill="FFFFFF"/>
            <w:hideMark/>
          </w:tcPr>
          <w:p w14:paraId="053481CE" w14:textId="77777777" w:rsidR="00663568" w:rsidRPr="00216C30" w:rsidRDefault="00663568" w:rsidP="00663568">
            <w:pPr>
              <w:jc w:val="right"/>
              <w:rPr>
                <w:rFonts w:ascii="Arial" w:hAnsi="Arial" w:cs="Arial"/>
                <w:color w:val="000000"/>
                <w:sz w:val="20"/>
                <w:szCs w:val="20"/>
              </w:rPr>
            </w:pPr>
            <w:r>
              <w:rPr>
                <w:rFonts w:ascii="Arial" w:hAnsi="Arial"/>
                <w:color w:val="000000"/>
                <w:sz w:val="20"/>
                <w:szCs w:val="20"/>
              </w:rPr>
              <w:t> </w:t>
            </w:r>
          </w:p>
        </w:tc>
      </w:tr>
      <w:tr w:rsidR="00663568" w:rsidRPr="00663568" w14:paraId="4CA8560B"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07A7FD6A" w14:textId="77777777" w:rsidR="00663568" w:rsidRPr="00864AD4" w:rsidRDefault="00663568" w:rsidP="00663568">
            <w:pPr>
              <w:jc w:val="center"/>
              <w:rPr>
                <w:rFonts w:ascii="Arial" w:hAnsi="Arial" w:cs="Arial"/>
                <w:color w:val="000000"/>
                <w:sz w:val="16"/>
                <w:szCs w:val="16"/>
              </w:rPr>
            </w:pPr>
            <w:r>
              <w:rPr>
                <w:rFonts w:ascii="Arial" w:hAnsi="Arial"/>
                <w:color w:val="000000"/>
                <w:sz w:val="16"/>
                <w:szCs w:val="16"/>
              </w:rPr>
              <w:t>6</w:t>
            </w:r>
          </w:p>
        </w:tc>
        <w:tc>
          <w:tcPr>
            <w:tcW w:w="8173" w:type="dxa"/>
            <w:tcBorders>
              <w:top w:val="nil"/>
              <w:left w:val="nil"/>
              <w:bottom w:val="single" w:sz="8" w:space="0" w:color="000000"/>
              <w:right w:val="single" w:sz="8" w:space="0" w:color="000000"/>
            </w:tcBorders>
            <w:shd w:val="clear" w:color="000000" w:fill="FFFFFF"/>
            <w:hideMark/>
          </w:tcPr>
          <w:p w14:paraId="52B17E15" w14:textId="77777777" w:rsidR="00663568" w:rsidRPr="00424CC3" w:rsidRDefault="00663568" w:rsidP="00663568">
            <w:pPr>
              <w:jc w:val="left"/>
              <w:rPr>
                <w:rFonts w:ascii="Arial" w:hAnsi="Arial" w:cs="Arial"/>
                <w:color w:val="000000"/>
                <w:sz w:val="16"/>
                <w:szCs w:val="16"/>
              </w:rPr>
            </w:pPr>
            <w:r>
              <w:rPr>
                <w:rFonts w:ascii="Arial" w:hAnsi="Arial"/>
                <w:color w:val="000000"/>
                <w:sz w:val="16"/>
                <w:szCs w:val="16"/>
              </w:rPr>
              <w:t>Majoration des collatéraux dérivés fournis lorsque déduits de la feuille de bilan</w:t>
            </w:r>
          </w:p>
        </w:tc>
        <w:tc>
          <w:tcPr>
            <w:tcW w:w="1380" w:type="dxa"/>
            <w:tcBorders>
              <w:top w:val="nil"/>
              <w:left w:val="nil"/>
              <w:bottom w:val="single" w:sz="8" w:space="0" w:color="000000"/>
              <w:right w:val="single" w:sz="8" w:space="0" w:color="000000"/>
            </w:tcBorders>
            <w:shd w:val="clear" w:color="000000" w:fill="FFFFFF"/>
            <w:hideMark/>
          </w:tcPr>
          <w:p w14:paraId="7E3EDCC4" w14:textId="77777777" w:rsidR="00663568" w:rsidRPr="00216C30" w:rsidRDefault="00663568" w:rsidP="00663568">
            <w:pPr>
              <w:jc w:val="right"/>
              <w:rPr>
                <w:rFonts w:ascii="Arial" w:hAnsi="Arial" w:cs="Arial"/>
                <w:color w:val="000000"/>
                <w:sz w:val="20"/>
                <w:szCs w:val="20"/>
              </w:rPr>
            </w:pPr>
            <w:r>
              <w:rPr>
                <w:rFonts w:ascii="Arial" w:hAnsi="Arial"/>
                <w:color w:val="000000"/>
                <w:sz w:val="20"/>
                <w:szCs w:val="20"/>
              </w:rPr>
              <w:t> </w:t>
            </w:r>
          </w:p>
        </w:tc>
      </w:tr>
      <w:tr w:rsidR="00663568" w:rsidRPr="00663568" w14:paraId="7D947D33"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70F9D429" w14:textId="77777777" w:rsidR="00663568" w:rsidRPr="00864AD4" w:rsidRDefault="00663568" w:rsidP="00663568">
            <w:pPr>
              <w:jc w:val="center"/>
              <w:rPr>
                <w:rFonts w:ascii="Arial" w:hAnsi="Arial" w:cs="Arial"/>
                <w:color w:val="000000"/>
                <w:sz w:val="16"/>
                <w:szCs w:val="16"/>
              </w:rPr>
            </w:pPr>
            <w:r>
              <w:rPr>
                <w:rFonts w:ascii="Arial" w:hAnsi="Arial"/>
                <w:color w:val="000000"/>
                <w:sz w:val="16"/>
                <w:szCs w:val="16"/>
              </w:rPr>
              <w:t>7</w:t>
            </w:r>
          </w:p>
        </w:tc>
        <w:tc>
          <w:tcPr>
            <w:tcW w:w="8173" w:type="dxa"/>
            <w:tcBorders>
              <w:top w:val="nil"/>
              <w:left w:val="nil"/>
              <w:bottom w:val="single" w:sz="8" w:space="0" w:color="000000"/>
              <w:right w:val="single" w:sz="8" w:space="0" w:color="000000"/>
            </w:tcBorders>
            <w:shd w:val="clear" w:color="000000" w:fill="FFFFFF"/>
            <w:hideMark/>
          </w:tcPr>
          <w:p w14:paraId="3B4D25E0" w14:textId="776C17D4" w:rsidR="00663568" w:rsidRPr="00864AD4" w:rsidRDefault="00663568" w:rsidP="003D0460">
            <w:pPr>
              <w:jc w:val="left"/>
              <w:rPr>
                <w:rFonts w:ascii="Arial" w:hAnsi="Arial" w:cs="Arial"/>
                <w:color w:val="000000"/>
                <w:sz w:val="16"/>
                <w:szCs w:val="16"/>
              </w:rPr>
            </w:pPr>
            <w:r>
              <w:rPr>
                <w:rFonts w:ascii="Arial" w:hAnsi="Arial"/>
                <w:color w:val="000000"/>
                <w:sz w:val="16"/>
                <w:szCs w:val="16"/>
              </w:rPr>
              <w:t xml:space="preserve">(Déductions des actifs à recouvrer pour la marge de </w:t>
            </w:r>
            <w:proofErr w:type="gramStart"/>
            <w:r>
              <w:rPr>
                <w:rFonts w:ascii="Arial" w:hAnsi="Arial"/>
                <w:color w:val="000000"/>
                <w:sz w:val="16"/>
                <w:szCs w:val="16"/>
              </w:rPr>
              <w:t>variation  de</w:t>
            </w:r>
            <w:proofErr w:type="gramEnd"/>
            <w:r>
              <w:rPr>
                <w:rFonts w:ascii="Arial" w:hAnsi="Arial"/>
                <w:color w:val="000000"/>
                <w:sz w:val="16"/>
                <w:szCs w:val="16"/>
              </w:rPr>
              <w:t xml:space="preserve"> l’argent indiquée dans les transactions de produits dérivés)</w:t>
            </w:r>
          </w:p>
        </w:tc>
        <w:tc>
          <w:tcPr>
            <w:tcW w:w="1380" w:type="dxa"/>
            <w:tcBorders>
              <w:top w:val="nil"/>
              <w:left w:val="nil"/>
              <w:bottom w:val="single" w:sz="8" w:space="0" w:color="000000"/>
              <w:right w:val="single" w:sz="8" w:space="0" w:color="000000"/>
            </w:tcBorders>
            <w:shd w:val="clear" w:color="000000" w:fill="FFFFFF"/>
            <w:hideMark/>
          </w:tcPr>
          <w:p w14:paraId="19B2DB51" w14:textId="77777777" w:rsidR="00663568" w:rsidRPr="00216C30" w:rsidRDefault="00663568" w:rsidP="00663568">
            <w:pPr>
              <w:jc w:val="right"/>
              <w:rPr>
                <w:rFonts w:ascii="Arial" w:hAnsi="Arial" w:cs="Arial"/>
                <w:color w:val="000000"/>
                <w:sz w:val="20"/>
                <w:szCs w:val="20"/>
              </w:rPr>
            </w:pPr>
            <w:r>
              <w:rPr>
                <w:rFonts w:ascii="Arial" w:hAnsi="Arial"/>
                <w:color w:val="000000"/>
                <w:sz w:val="20"/>
                <w:szCs w:val="20"/>
              </w:rPr>
              <w:t> </w:t>
            </w:r>
          </w:p>
        </w:tc>
      </w:tr>
      <w:tr w:rsidR="00663568" w:rsidRPr="00663568" w14:paraId="2F877EF0"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4494185F" w14:textId="77777777" w:rsidR="00663568" w:rsidRPr="00864AD4" w:rsidRDefault="00663568" w:rsidP="00663568">
            <w:pPr>
              <w:jc w:val="center"/>
              <w:rPr>
                <w:rFonts w:ascii="Arial" w:hAnsi="Arial" w:cs="Arial"/>
                <w:color w:val="000000"/>
                <w:sz w:val="16"/>
                <w:szCs w:val="16"/>
              </w:rPr>
            </w:pPr>
            <w:r>
              <w:rPr>
                <w:rFonts w:ascii="Arial" w:hAnsi="Arial"/>
                <w:color w:val="000000"/>
                <w:sz w:val="16"/>
                <w:szCs w:val="16"/>
              </w:rPr>
              <w:t>8</w:t>
            </w:r>
          </w:p>
        </w:tc>
        <w:tc>
          <w:tcPr>
            <w:tcW w:w="8173" w:type="dxa"/>
            <w:tcBorders>
              <w:top w:val="nil"/>
              <w:left w:val="nil"/>
              <w:bottom w:val="single" w:sz="8" w:space="0" w:color="000000"/>
              <w:right w:val="single" w:sz="8" w:space="0" w:color="000000"/>
            </w:tcBorders>
            <w:shd w:val="clear" w:color="000000" w:fill="FFFFFF"/>
            <w:hideMark/>
          </w:tcPr>
          <w:p w14:paraId="0077BE52" w14:textId="77777777" w:rsidR="00663568" w:rsidRPr="00424CC3" w:rsidRDefault="00663568" w:rsidP="00663568">
            <w:pPr>
              <w:jc w:val="left"/>
              <w:rPr>
                <w:rFonts w:ascii="Arial" w:hAnsi="Arial" w:cs="Arial"/>
                <w:color w:val="000000"/>
                <w:sz w:val="16"/>
                <w:szCs w:val="16"/>
              </w:rPr>
            </w:pPr>
            <w:r>
              <w:rPr>
                <w:rFonts w:ascii="Arial" w:hAnsi="Arial"/>
                <w:color w:val="000000"/>
                <w:sz w:val="16"/>
                <w:szCs w:val="16"/>
              </w:rPr>
              <w:t>(Une partie des clients sous contrepartie centrale (CCP) exemptés des risques du marché)</w:t>
            </w:r>
          </w:p>
        </w:tc>
        <w:tc>
          <w:tcPr>
            <w:tcW w:w="1380" w:type="dxa"/>
            <w:tcBorders>
              <w:top w:val="nil"/>
              <w:left w:val="nil"/>
              <w:bottom w:val="single" w:sz="8" w:space="0" w:color="000000"/>
              <w:right w:val="single" w:sz="8" w:space="0" w:color="000000"/>
            </w:tcBorders>
            <w:shd w:val="clear" w:color="000000" w:fill="FFFFFF"/>
            <w:hideMark/>
          </w:tcPr>
          <w:p w14:paraId="0CCD000C" w14:textId="77777777" w:rsidR="00663568" w:rsidRPr="00216C30" w:rsidRDefault="00663568" w:rsidP="00663568">
            <w:pPr>
              <w:jc w:val="right"/>
              <w:rPr>
                <w:rFonts w:ascii="Arial" w:hAnsi="Arial" w:cs="Arial"/>
                <w:color w:val="000000"/>
                <w:sz w:val="20"/>
                <w:szCs w:val="20"/>
              </w:rPr>
            </w:pPr>
            <w:r>
              <w:rPr>
                <w:rFonts w:ascii="Arial" w:hAnsi="Arial"/>
                <w:color w:val="000000"/>
                <w:sz w:val="20"/>
                <w:szCs w:val="20"/>
              </w:rPr>
              <w:t> </w:t>
            </w:r>
          </w:p>
        </w:tc>
      </w:tr>
      <w:tr w:rsidR="00663568" w:rsidRPr="00663568" w14:paraId="52DF14E9"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7C1D9377" w14:textId="77777777" w:rsidR="00663568" w:rsidRPr="00864AD4" w:rsidRDefault="00663568" w:rsidP="00663568">
            <w:pPr>
              <w:jc w:val="center"/>
              <w:rPr>
                <w:rFonts w:ascii="Arial" w:hAnsi="Arial" w:cs="Arial"/>
                <w:color w:val="000000"/>
                <w:sz w:val="16"/>
                <w:szCs w:val="16"/>
              </w:rPr>
            </w:pPr>
            <w:r>
              <w:rPr>
                <w:rFonts w:ascii="Arial" w:hAnsi="Arial"/>
                <w:color w:val="000000"/>
                <w:sz w:val="16"/>
                <w:szCs w:val="16"/>
              </w:rPr>
              <w:t>9</w:t>
            </w:r>
          </w:p>
        </w:tc>
        <w:tc>
          <w:tcPr>
            <w:tcW w:w="8173" w:type="dxa"/>
            <w:tcBorders>
              <w:top w:val="nil"/>
              <w:left w:val="nil"/>
              <w:bottom w:val="single" w:sz="8" w:space="0" w:color="000000"/>
              <w:right w:val="single" w:sz="8" w:space="0" w:color="000000"/>
            </w:tcBorders>
            <w:shd w:val="clear" w:color="000000" w:fill="FFFFFF"/>
            <w:hideMark/>
          </w:tcPr>
          <w:p w14:paraId="15AF2F5C" w14:textId="77777777" w:rsidR="00663568" w:rsidRPr="00424CC3" w:rsidRDefault="00663568" w:rsidP="00663568">
            <w:pPr>
              <w:jc w:val="left"/>
              <w:rPr>
                <w:rFonts w:ascii="Arial" w:hAnsi="Arial" w:cs="Arial"/>
                <w:color w:val="000000"/>
                <w:sz w:val="16"/>
                <w:szCs w:val="16"/>
              </w:rPr>
            </w:pPr>
            <w:r>
              <w:rPr>
                <w:rFonts w:ascii="Arial" w:hAnsi="Arial"/>
                <w:color w:val="000000"/>
                <w:sz w:val="16"/>
                <w:szCs w:val="16"/>
              </w:rPr>
              <w:t>Montant nominal ajusté en vigueur des dérivés de crédit vendus</w:t>
            </w:r>
          </w:p>
        </w:tc>
        <w:tc>
          <w:tcPr>
            <w:tcW w:w="1380" w:type="dxa"/>
            <w:tcBorders>
              <w:top w:val="nil"/>
              <w:left w:val="nil"/>
              <w:bottom w:val="single" w:sz="8" w:space="0" w:color="000000"/>
              <w:right w:val="single" w:sz="8" w:space="0" w:color="000000"/>
            </w:tcBorders>
            <w:shd w:val="clear" w:color="000000" w:fill="FFFFFF"/>
            <w:hideMark/>
          </w:tcPr>
          <w:p w14:paraId="7CB8A6AC" w14:textId="77777777" w:rsidR="00663568" w:rsidRPr="00216C30" w:rsidRDefault="00663568" w:rsidP="00663568">
            <w:pPr>
              <w:jc w:val="right"/>
              <w:rPr>
                <w:rFonts w:ascii="Arial" w:hAnsi="Arial" w:cs="Arial"/>
                <w:color w:val="000000"/>
                <w:sz w:val="20"/>
                <w:szCs w:val="20"/>
              </w:rPr>
            </w:pPr>
            <w:r>
              <w:rPr>
                <w:rFonts w:ascii="Arial" w:hAnsi="Arial"/>
                <w:color w:val="000000"/>
                <w:sz w:val="20"/>
                <w:szCs w:val="20"/>
              </w:rPr>
              <w:t> </w:t>
            </w:r>
          </w:p>
        </w:tc>
      </w:tr>
      <w:tr w:rsidR="00663568" w:rsidRPr="00663568" w14:paraId="124228E7"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332155F" w14:textId="77777777" w:rsidR="00663568" w:rsidRPr="00864AD4" w:rsidRDefault="00663568" w:rsidP="00663568">
            <w:pPr>
              <w:jc w:val="center"/>
              <w:rPr>
                <w:rFonts w:ascii="Arial" w:hAnsi="Arial" w:cs="Arial"/>
                <w:color w:val="000000"/>
                <w:sz w:val="16"/>
                <w:szCs w:val="16"/>
              </w:rPr>
            </w:pPr>
            <w:r>
              <w:rPr>
                <w:rFonts w:ascii="Arial" w:hAnsi="Arial"/>
                <w:color w:val="000000"/>
                <w:sz w:val="16"/>
                <w:szCs w:val="16"/>
              </w:rPr>
              <w:t>10</w:t>
            </w:r>
          </w:p>
        </w:tc>
        <w:tc>
          <w:tcPr>
            <w:tcW w:w="8173" w:type="dxa"/>
            <w:tcBorders>
              <w:top w:val="nil"/>
              <w:left w:val="nil"/>
              <w:bottom w:val="single" w:sz="8" w:space="0" w:color="000000"/>
              <w:right w:val="single" w:sz="8" w:space="0" w:color="000000"/>
            </w:tcBorders>
            <w:shd w:val="clear" w:color="000000" w:fill="FFFFFF"/>
            <w:hideMark/>
          </w:tcPr>
          <w:p w14:paraId="436AB87A" w14:textId="77777777" w:rsidR="00663568" w:rsidRPr="00864AD4" w:rsidRDefault="00663568" w:rsidP="00663568">
            <w:pPr>
              <w:jc w:val="left"/>
              <w:rPr>
                <w:rFonts w:ascii="Arial" w:hAnsi="Arial" w:cs="Arial"/>
                <w:color w:val="000000"/>
                <w:sz w:val="16"/>
                <w:szCs w:val="16"/>
              </w:rPr>
            </w:pPr>
            <w:r>
              <w:rPr>
                <w:rFonts w:ascii="Arial" w:hAnsi="Arial"/>
                <w:color w:val="000000"/>
                <w:sz w:val="16"/>
                <w:szCs w:val="16"/>
              </w:rPr>
              <w:t>(Réinitialisations nominales ajustées en effet et déductions additionnelles pour les dérivés de crédit vendus)</w:t>
            </w:r>
          </w:p>
        </w:tc>
        <w:tc>
          <w:tcPr>
            <w:tcW w:w="1380" w:type="dxa"/>
            <w:tcBorders>
              <w:top w:val="nil"/>
              <w:left w:val="nil"/>
              <w:bottom w:val="single" w:sz="8" w:space="0" w:color="000000"/>
              <w:right w:val="single" w:sz="8" w:space="0" w:color="000000"/>
            </w:tcBorders>
            <w:shd w:val="clear" w:color="000000" w:fill="FFFFFF"/>
            <w:hideMark/>
          </w:tcPr>
          <w:p w14:paraId="7033E76D" w14:textId="77777777" w:rsidR="00663568" w:rsidRPr="00216C30" w:rsidRDefault="00663568" w:rsidP="00663568">
            <w:pPr>
              <w:jc w:val="right"/>
              <w:rPr>
                <w:rFonts w:ascii="Arial" w:hAnsi="Arial" w:cs="Arial"/>
                <w:color w:val="000000"/>
                <w:sz w:val="20"/>
                <w:szCs w:val="20"/>
              </w:rPr>
            </w:pPr>
            <w:r>
              <w:rPr>
                <w:rFonts w:ascii="Arial" w:hAnsi="Arial"/>
                <w:color w:val="000000"/>
                <w:sz w:val="20"/>
                <w:szCs w:val="20"/>
              </w:rPr>
              <w:t> </w:t>
            </w:r>
          </w:p>
        </w:tc>
      </w:tr>
      <w:tr w:rsidR="00663568" w:rsidRPr="00663568" w14:paraId="2631525A" w14:textId="77777777" w:rsidTr="00663568">
        <w:trPr>
          <w:trHeight w:val="299"/>
        </w:trPr>
        <w:tc>
          <w:tcPr>
            <w:tcW w:w="591" w:type="dxa"/>
            <w:tcBorders>
              <w:top w:val="nil"/>
              <w:left w:val="single" w:sz="8" w:space="0" w:color="000000"/>
              <w:bottom w:val="single" w:sz="8" w:space="0" w:color="D9D9D9"/>
              <w:right w:val="single" w:sz="8" w:space="0" w:color="000000"/>
            </w:tcBorders>
            <w:shd w:val="clear" w:color="000000" w:fill="D9D9D9"/>
            <w:hideMark/>
          </w:tcPr>
          <w:p w14:paraId="0F27D367" w14:textId="77777777" w:rsidR="00663568" w:rsidRPr="00864AD4" w:rsidRDefault="00663568" w:rsidP="00663568">
            <w:pPr>
              <w:jc w:val="center"/>
              <w:rPr>
                <w:rFonts w:ascii="Arial" w:hAnsi="Arial" w:cs="Arial"/>
                <w:b/>
                <w:bCs/>
                <w:color w:val="000000"/>
                <w:sz w:val="16"/>
                <w:szCs w:val="16"/>
              </w:rPr>
            </w:pPr>
            <w:r>
              <w:rPr>
                <w:rFonts w:ascii="Arial" w:hAnsi="Arial"/>
                <w:b/>
                <w:bCs/>
                <w:color w:val="000000"/>
                <w:sz w:val="16"/>
                <w:szCs w:val="16"/>
              </w:rPr>
              <w:t>11</w:t>
            </w:r>
          </w:p>
        </w:tc>
        <w:tc>
          <w:tcPr>
            <w:tcW w:w="8173" w:type="dxa"/>
            <w:tcBorders>
              <w:top w:val="nil"/>
              <w:left w:val="nil"/>
              <w:bottom w:val="single" w:sz="8" w:space="0" w:color="D9D9D9"/>
              <w:right w:val="single" w:sz="8" w:space="0" w:color="000000"/>
            </w:tcBorders>
            <w:shd w:val="clear" w:color="000000" w:fill="D9D9D9"/>
            <w:hideMark/>
          </w:tcPr>
          <w:p w14:paraId="05E5D3B7" w14:textId="77777777" w:rsidR="00663568" w:rsidRPr="00864AD4" w:rsidRDefault="00663568" w:rsidP="00663568">
            <w:pPr>
              <w:jc w:val="left"/>
              <w:rPr>
                <w:rFonts w:ascii="Arial" w:hAnsi="Arial" w:cs="Arial"/>
                <w:b/>
                <w:bCs/>
                <w:color w:val="000000"/>
                <w:sz w:val="16"/>
                <w:szCs w:val="16"/>
              </w:rPr>
            </w:pPr>
            <w:r>
              <w:rPr>
                <w:rFonts w:ascii="Arial" w:hAnsi="Arial"/>
                <w:b/>
                <w:bCs/>
                <w:color w:val="000000"/>
                <w:sz w:val="16"/>
                <w:szCs w:val="16"/>
              </w:rPr>
              <w:t>Total des expositions aux produits dérivés (somme des lignes 4 à 10)</w:t>
            </w:r>
          </w:p>
        </w:tc>
        <w:tc>
          <w:tcPr>
            <w:tcW w:w="1380" w:type="dxa"/>
            <w:tcBorders>
              <w:top w:val="nil"/>
              <w:left w:val="nil"/>
              <w:bottom w:val="single" w:sz="8" w:space="0" w:color="D9D9D9"/>
              <w:right w:val="single" w:sz="8" w:space="0" w:color="000000"/>
            </w:tcBorders>
            <w:shd w:val="clear" w:color="000000" w:fill="D9D9D9"/>
            <w:hideMark/>
          </w:tcPr>
          <w:p w14:paraId="5CF7B6EC" w14:textId="77777777" w:rsidR="00663568" w:rsidRPr="00216C30" w:rsidRDefault="00663568" w:rsidP="00663568">
            <w:pPr>
              <w:jc w:val="right"/>
              <w:rPr>
                <w:rFonts w:ascii="Arial" w:hAnsi="Arial" w:cs="Arial"/>
                <w:b/>
                <w:bCs/>
                <w:color w:val="000000"/>
                <w:sz w:val="20"/>
                <w:szCs w:val="20"/>
              </w:rPr>
            </w:pPr>
            <w:r>
              <w:rPr>
                <w:rFonts w:ascii="Arial" w:hAnsi="Arial"/>
                <w:b/>
                <w:bCs/>
                <w:color w:val="000000"/>
                <w:sz w:val="20"/>
                <w:szCs w:val="20"/>
              </w:rPr>
              <w:t xml:space="preserve">0 </w:t>
            </w:r>
          </w:p>
        </w:tc>
      </w:tr>
      <w:tr w:rsidR="00663568" w:rsidRPr="00663568" w14:paraId="70977AFE" w14:textId="77777777" w:rsidTr="00663568">
        <w:trPr>
          <w:trHeight w:val="299"/>
        </w:trPr>
        <w:tc>
          <w:tcPr>
            <w:tcW w:w="10144" w:type="dxa"/>
            <w:gridSpan w:val="3"/>
            <w:tcBorders>
              <w:top w:val="single" w:sz="8" w:space="0" w:color="auto"/>
              <w:left w:val="single" w:sz="8" w:space="0" w:color="auto"/>
              <w:bottom w:val="single" w:sz="8" w:space="0" w:color="auto"/>
              <w:right w:val="single" w:sz="8" w:space="0" w:color="000000"/>
            </w:tcBorders>
            <w:shd w:val="clear" w:color="000000" w:fill="BEBEBE"/>
            <w:hideMark/>
          </w:tcPr>
          <w:p w14:paraId="4D311FA2" w14:textId="77777777" w:rsidR="00663568" w:rsidRPr="00864AD4" w:rsidRDefault="00663568" w:rsidP="00663568">
            <w:pPr>
              <w:jc w:val="center"/>
              <w:rPr>
                <w:rFonts w:ascii="Arial" w:hAnsi="Arial" w:cs="Arial"/>
                <w:b/>
                <w:bCs/>
                <w:color w:val="000000"/>
                <w:sz w:val="16"/>
                <w:szCs w:val="16"/>
              </w:rPr>
            </w:pPr>
            <w:r>
              <w:rPr>
                <w:rFonts w:ascii="Arial" w:hAnsi="Arial"/>
                <w:b/>
                <w:bCs/>
                <w:color w:val="000000"/>
                <w:sz w:val="16"/>
                <w:szCs w:val="16"/>
              </w:rPr>
              <w:t>Expositions aux opérations de financement par titres</w:t>
            </w:r>
          </w:p>
        </w:tc>
      </w:tr>
      <w:tr w:rsidR="00663568" w:rsidRPr="00663568" w14:paraId="5757D6B8" w14:textId="77777777" w:rsidTr="00663568">
        <w:trPr>
          <w:trHeight w:val="469"/>
        </w:trPr>
        <w:tc>
          <w:tcPr>
            <w:tcW w:w="591" w:type="dxa"/>
            <w:tcBorders>
              <w:top w:val="nil"/>
              <w:left w:val="single" w:sz="8" w:space="0" w:color="000000"/>
              <w:bottom w:val="single" w:sz="8" w:space="0" w:color="000000"/>
              <w:right w:val="single" w:sz="8" w:space="0" w:color="000000"/>
            </w:tcBorders>
            <w:shd w:val="clear" w:color="000000" w:fill="FFFFFF"/>
            <w:hideMark/>
          </w:tcPr>
          <w:p w14:paraId="7E5646C0" w14:textId="77777777" w:rsidR="00663568" w:rsidRPr="00864AD4" w:rsidRDefault="00663568" w:rsidP="00663568">
            <w:pPr>
              <w:jc w:val="center"/>
              <w:rPr>
                <w:rFonts w:ascii="Arial" w:hAnsi="Arial" w:cs="Arial"/>
                <w:color w:val="000000"/>
                <w:sz w:val="16"/>
                <w:szCs w:val="16"/>
              </w:rPr>
            </w:pPr>
            <w:r>
              <w:rPr>
                <w:rFonts w:ascii="Arial" w:hAnsi="Arial"/>
                <w:color w:val="000000"/>
                <w:sz w:val="16"/>
                <w:szCs w:val="16"/>
              </w:rPr>
              <w:t>12</w:t>
            </w:r>
          </w:p>
        </w:tc>
        <w:tc>
          <w:tcPr>
            <w:tcW w:w="8173" w:type="dxa"/>
            <w:tcBorders>
              <w:top w:val="nil"/>
              <w:left w:val="nil"/>
              <w:bottom w:val="single" w:sz="8" w:space="0" w:color="000000"/>
              <w:right w:val="single" w:sz="8" w:space="0" w:color="000000"/>
            </w:tcBorders>
            <w:shd w:val="clear" w:color="000000" w:fill="FFFFFF"/>
            <w:hideMark/>
          </w:tcPr>
          <w:p w14:paraId="4EE523EB" w14:textId="77777777" w:rsidR="00663568" w:rsidRPr="00864AD4" w:rsidRDefault="00663568" w:rsidP="00663568">
            <w:pPr>
              <w:jc w:val="left"/>
              <w:rPr>
                <w:rFonts w:ascii="Arial" w:hAnsi="Arial" w:cs="Arial"/>
                <w:color w:val="000000"/>
                <w:sz w:val="16"/>
                <w:szCs w:val="16"/>
              </w:rPr>
            </w:pPr>
            <w:r>
              <w:rPr>
                <w:rFonts w:ascii="Arial" w:hAnsi="Arial"/>
                <w:color w:val="000000"/>
                <w:sz w:val="16"/>
                <w:szCs w:val="16"/>
              </w:rPr>
              <w:t>Actifs bruts des OFT reconnus aux fins comptables (sans reconnaissance de la valeur nette), après ajustements pour les opérations comptables de vente</w:t>
            </w:r>
          </w:p>
        </w:tc>
        <w:tc>
          <w:tcPr>
            <w:tcW w:w="1380" w:type="dxa"/>
            <w:tcBorders>
              <w:top w:val="nil"/>
              <w:left w:val="nil"/>
              <w:bottom w:val="single" w:sz="8" w:space="0" w:color="000000"/>
              <w:right w:val="single" w:sz="8" w:space="0" w:color="000000"/>
            </w:tcBorders>
            <w:shd w:val="clear" w:color="000000" w:fill="FFFFFF"/>
            <w:hideMark/>
          </w:tcPr>
          <w:p w14:paraId="479FC510" w14:textId="77777777" w:rsidR="00663568" w:rsidRPr="00216C30" w:rsidRDefault="00663568" w:rsidP="00663568">
            <w:pPr>
              <w:jc w:val="right"/>
              <w:rPr>
                <w:rFonts w:ascii="Arial" w:hAnsi="Arial" w:cs="Arial"/>
                <w:color w:val="000000"/>
                <w:sz w:val="20"/>
                <w:szCs w:val="20"/>
              </w:rPr>
            </w:pPr>
            <w:r>
              <w:rPr>
                <w:rFonts w:ascii="Arial" w:hAnsi="Arial"/>
                <w:color w:val="000000"/>
                <w:sz w:val="20"/>
                <w:szCs w:val="20"/>
              </w:rPr>
              <w:t> </w:t>
            </w:r>
          </w:p>
        </w:tc>
      </w:tr>
      <w:tr w:rsidR="00663568" w:rsidRPr="00663568" w14:paraId="6D3CFCED"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FD53DDD" w14:textId="77777777" w:rsidR="00663568" w:rsidRPr="00864AD4" w:rsidRDefault="00663568" w:rsidP="00663568">
            <w:pPr>
              <w:jc w:val="center"/>
              <w:rPr>
                <w:rFonts w:ascii="Arial" w:hAnsi="Arial" w:cs="Arial"/>
                <w:color w:val="000000"/>
                <w:sz w:val="16"/>
                <w:szCs w:val="16"/>
              </w:rPr>
            </w:pPr>
            <w:r>
              <w:rPr>
                <w:rFonts w:ascii="Arial" w:hAnsi="Arial"/>
                <w:color w:val="000000"/>
                <w:sz w:val="16"/>
                <w:szCs w:val="16"/>
              </w:rPr>
              <w:t>13</w:t>
            </w:r>
          </w:p>
        </w:tc>
        <w:tc>
          <w:tcPr>
            <w:tcW w:w="8173" w:type="dxa"/>
            <w:tcBorders>
              <w:top w:val="nil"/>
              <w:left w:val="nil"/>
              <w:bottom w:val="single" w:sz="8" w:space="0" w:color="000000"/>
              <w:right w:val="single" w:sz="8" w:space="0" w:color="000000"/>
            </w:tcBorders>
            <w:shd w:val="clear" w:color="000000" w:fill="FFFFFF"/>
            <w:hideMark/>
          </w:tcPr>
          <w:p w14:paraId="12B32C24" w14:textId="77777777" w:rsidR="00663568" w:rsidRPr="00864AD4" w:rsidRDefault="00663568" w:rsidP="00663568">
            <w:pPr>
              <w:jc w:val="left"/>
              <w:rPr>
                <w:rFonts w:ascii="Arial" w:hAnsi="Arial" w:cs="Arial"/>
                <w:color w:val="000000"/>
                <w:sz w:val="16"/>
                <w:szCs w:val="16"/>
              </w:rPr>
            </w:pPr>
            <w:r>
              <w:rPr>
                <w:rFonts w:ascii="Arial" w:hAnsi="Arial"/>
                <w:color w:val="000000"/>
                <w:sz w:val="16"/>
                <w:szCs w:val="16"/>
              </w:rPr>
              <w:t>(Montants nets des sommes à payer et à recevoir des OFT nettes)</w:t>
            </w:r>
          </w:p>
        </w:tc>
        <w:tc>
          <w:tcPr>
            <w:tcW w:w="1380" w:type="dxa"/>
            <w:tcBorders>
              <w:top w:val="nil"/>
              <w:left w:val="nil"/>
              <w:bottom w:val="single" w:sz="8" w:space="0" w:color="000000"/>
              <w:right w:val="single" w:sz="8" w:space="0" w:color="000000"/>
            </w:tcBorders>
            <w:shd w:val="clear" w:color="000000" w:fill="FFFFFF"/>
            <w:hideMark/>
          </w:tcPr>
          <w:p w14:paraId="7EB12748" w14:textId="77777777" w:rsidR="00663568" w:rsidRPr="00216C30" w:rsidRDefault="00663568" w:rsidP="00663568">
            <w:pPr>
              <w:jc w:val="right"/>
              <w:rPr>
                <w:rFonts w:ascii="Arial" w:hAnsi="Arial" w:cs="Arial"/>
                <w:color w:val="000000"/>
                <w:sz w:val="20"/>
                <w:szCs w:val="20"/>
              </w:rPr>
            </w:pPr>
            <w:r>
              <w:rPr>
                <w:rFonts w:ascii="Arial" w:hAnsi="Arial"/>
                <w:color w:val="000000"/>
                <w:sz w:val="20"/>
                <w:szCs w:val="20"/>
              </w:rPr>
              <w:t> </w:t>
            </w:r>
          </w:p>
        </w:tc>
      </w:tr>
      <w:tr w:rsidR="00663568" w:rsidRPr="00663568" w14:paraId="5B0C051D"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7BFEF08" w14:textId="77777777" w:rsidR="00663568" w:rsidRPr="00864AD4" w:rsidRDefault="00663568" w:rsidP="00663568">
            <w:pPr>
              <w:jc w:val="center"/>
              <w:rPr>
                <w:rFonts w:ascii="Arial" w:hAnsi="Arial" w:cs="Arial"/>
                <w:color w:val="000000"/>
                <w:sz w:val="16"/>
                <w:szCs w:val="16"/>
              </w:rPr>
            </w:pPr>
            <w:r>
              <w:rPr>
                <w:rFonts w:ascii="Arial" w:hAnsi="Arial"/>
                <w:color w:val="000000"/>
                <w:sz w:val="16"/>
                <w:szCs w:val="16"/>
              </w:rPr>
              <w:t>14</w:t>
            </w:r>
          </w:p>
        </w:tc>
        <w:tc>
          <w:tcPr>
            <w:tcW w:w="8173" w:type="dxa"/>
            <w:tcBorders>
              <w:top w:val="nil"/>
              <w:left w:val="nil"/>
              <w:bottom w:val="single" w:sz="8" w:space="0" w:color="000000"/>
              <w:right w:val="single" w:sz="8" w:space="0" w:color="000000"/>
            </w:tcBorders>
            <w:shd w:val="clear" w:color="000000" w:fill="FFFFFF"/>
            <w:hideMark/>
          </w:tcPr>
          <w:p w14:paraId="7941E523" w14:textId="77777777" w:rsidR="00663568" w:rsidRPr="00424CC3" w:rsidRDefault="00663568" w:rsidP="00663568">
            <w:pPr>
              <w:jc w:val="left"/>
              <w:rPr>
                <w:rFonts w:ascii="Arial" w:hAnsi="Arial" w:cs="Arial"/>
                <w:color w:val="000000"/>
                <w:sz w:val="16"/>
                <w:szCs w:val="16"/>
              </w:rPr>
            </w:pPr>
            <w:r>
              <w:rPr>
                <w:rFonts w:ascii="Arial" w:hAnsi="Arial"/>
                <w:color w:val="000000"/>
                <w:sz w:val="16"/>
                <w:szCs w:val="16"/>
              </w:rPr>
              <w:t>Risque de crédit de contrepartie (CCR) pour les OFT</w:t>
            </w:r>
          </w:p>
        </w:tc>
        <w:tc>
          <w:tcPr>
            <w:tcW w:w="1380" w:type="dxa"/>
            <w:tcBorders>
              <w:top w:val="nil"/>
              <w:left w:val="nil"/>
              <w:bottom w:val="single" w:sz="8" w:space="0" w:color="000000"/>
              <w:right w:val="single" w:sz="8" w:space="0" w:color="000000"/>
            </w:tcBorders>
            <w:shd w:val="clear" w:color="000000" w:fill="FFFFFF"/>
            <w:hideMark/>
          </w:tcPr>
          <w:p w14:paraId="70006ABF" w14:textId="77777777" w:rsidR="00663568" w:rsidRPr="00216C30" w:rsidRDefault="00663568" w:rsidP="00663568">
            <w:pPr>
              <w:jc w:val="right"/>
              <w:rPr>
                <w:rFonts w:ascii="Arial" w:hAnsi="Arial" w:cs="Arial"/>
                <w:color w:val="000000"/>
                <w:sz w:val="20"/>
                <w:szCs w:val="20"/>
              </w:rPr>
            </w:pPr>
            <w:r>
              <w:rPr>
                <w:rFonts w:ascii="Arial" w:hAnsi="Arial"/>
                <w:color w:val="000000"/>
                <w:sz w:val="20"/>
                <w:szCs w:val="20"/>
              </w:rPr>
              <w:t> </w:t>
            </w:r>
          </w:p>
        </w:tc>
      </w:tr>
      <w:tr w:rsidR="00663568" w:rsidRPr="00663568" w14:paraId="29B1DBB4"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772D20BE" w14:textId="77777777" w:rsidR="00663568" w:rsidRPr="00864AD4" w:rsidRDefault="00663568" w:rsidP="00663568">
            <w:pPr>
              <w:jc w:val="center"/>
              <w:rPr>
                <w:rFonts w:ascii="Arial" w:hAnsi="Arial" w:cs="Arial"/>
                <w:color w:val="000000"/>
                <w:sz w:val="16"/>
                <w:szCs w:val="16"/>
              </w:rPr>
            </w:pPr>
            <w:r>
              <w:rPr>
                <w:rFonts w:ascii="Arial" w:hAnsi="Arial"/>
                <w:color w:val="000000"/>
                <w:sz w:val="16"/>
                <w:szCs w:val="16"/>
              </w:rPr>
              <w:t>15</w:t>
            </w:r>
          </w:p>
        </w:tc>
        <w:tc>
          <w:tcPr>
            <w:tcW w:w="8173" w:type="dxa"/>
            <w:tcBorders>
              <w:top w:val="nil"/>
              <w:left w:val="nil"/>
              <w:bottom w:val="single" w:sz="8" w:space="0" w:color="000000"/>
              <w:right w:val="single" w:sz="8" w:space="0" w:color="000000"/>
            </w:tcBorders>
            <w:shd w:val="clear" w:color="000000" w:fill="FFFFFF"/>
            <w:hideMark/>
          </w:tcPr>
          <w:p w14:paraId="194E18DB" w14:textId="08DB1A14" w:rsidR="00663568" w:rsidRPr="00424CC3" w:rsidRDefault="00663568" w:rsidP="00663568">
            <w:pPr>
              <w:jc w:val="left"/>
              <w:rPr>
                <w:rFonts w:ascii="Arial" w:hAnsi="Arial" w:cs="Arial"/>
                <w:color w:val="000000"/>
                <w:sz w:val="16"/>
                <w:szCs w:val="16"/>
              </w:rPr>
            </w:pPr>
            <w:r>
              <w:rPr>
                <w:rFonts w:ascii="Arial" w:hAnsi="Arial"/>
                <w:color w:val="000000"/>
                <w:sz w:val="16"/>
                <w:szCs w:val="16"/>
              </w:rPr>
              <w:t>Risques liés aux transactions avec agent</w:t>
            </w:r>
          </w:p>
        </w:tc>
        <w:tc>
          <w:tcPr>
            <w:tcW w:w="1380" w:type="dxa"/>
            <w:tcBorders>
              <w:top w:val="nil"/>
              <w:left w:val="nil"/>
              <w:bottom w:val="single" w:sz="8" w:space="0" w:color="000000"/>
              <w:right w:val="single" w:sz="8" w:space="0" w:color="000000"/>
            </w:tcBorders>
            <w:shd w:val="clear" w:color="000000" w:fill="FFFFFF"/>
            <w:hideMark/>
          </w:tcPr>
          <w:p w14:paraId="641C3889" w14:textId="77777777" w:rsidR="00663568" w:rsidRPr="00216C30" w:rsidRDefault="00663568" w:rsidP="00663568">
            <w:pPr>
              <w:jc w:val="right"/>
              <w:rPr>
                <w:rFonts w:ascii="Arial" w:hAnsi="Arial" w:cs="Arial"/>
                <w:color w:val="000000"/>
                <w:sz w:val="20"/>
                <w:szCs w:val="20"/>
              </w:rPr>
            </w:pPr>
            <w:r>
              <w:rPr>
                <w:rFonts w:ascii="Arial" w:hAnsi="Arial"/>
                <w:color w:val="000000"/>
                <w:sz w:val="20"/>
                <w:szCs w:val="20"/>
              </w:rPr>
              <w:t> </w:t>
            </w:r>
          </w:p>
        </w:tc>
      </w:tr>
      <w:tr w:rsidR="00663568" w:rsidRPr="00663568" w14:paraId="157963F4" w14:textId="77777777" w:rsidTr="00663568">
        <w:trPr>
          <w:trHeight w:val="299"/>
        </w:trPr>
        <w:tc>
          <w:tcPr>
            <w:tcW w:w="591" w:type="dxa"/>
            <w:tcBorders>
              <w:top w:val="nil"/>
              <w:left w:val="single" w:sz="8" w:space="0" w:color="000000"/>
              <w:bottom w:val="nil"/>
              <w:right w:val="single" w:sz="8" w:space="0" w:color="000000"/>
            </w:tcBorders>
            <w:shd w:val="clear" w:color="000000" w:fill="D9D9D9"/>
            <w:hideMark/>
          </w:tcPr>
          <w:p w14:paraId="27464C81" w14:textId="77777777" w:rsidR="00663568" w:rsidRPr="00864AD4" w:rsidRDefault="00663568" w:rsidP="00663568">
            <w:pPr>
              <w:jc w:val="center"/>
              <w:rPr>
                <w:rFonts w:ascii="Arial" w:hAnsi="Arial" w:cs="Arial"/>
                <w:b/>
                <w:bCs/>
                <w:color w:val="000000"/>
                <w:sz w:val="16"/>
                <w:szCs w:val="16"/>
              </w:rPr>
            </w:pPr>
            <w:r>
              <w:rPr>
                <w:rFonts w:ascii="Arial" w:hAnsi="Arial"/>
                <w:b/>
                <w:bCs/>
                <w:color w:val="000000"/>
                <w:sz w:val="16"/>
                <w:szCs w:val="16"/>
              </w:rPr>
              <w:t>16</w:t>
            </w:r>
          </w:p>
        </w:tc>
        <w:tc>
          <w:tcPr>
            <w:tcW w:w="8173" w:type="dxa"/>
            <w:tcBorders>
              <w:top w:val="nil"/>
              <w:left w:val="nil"/>
              <w:bottom w:val="nil"/>
              <w:right w:val="single" w:sz="8" w:space="0" w:color="000000"/>
            </w:tcBorders>
            <w:shd w:val="clear" w:color="000000" w:fill="D9D9D9"/>
            <w:hideMark/>
          </w:tcPr>
          <w:p w14:paraId="4EF1A89C" w14:textId="77777777" w:rsidR="00663568" w:rsidRPr="00424CC3" w:rsidRDefault="00663568" w:rsidP="00663568">
            <w:pPr>
              <w:jc w:val="left"/>
              <w:rPr>
                <w:rFonts w:ascii="Arial" w:hAnsi="Arial" w:cs="Arial"/>
                <w:b/>
                <w:bCs/>
                <w:color w:val="000000"/>
                <w:sz w:val="16"/>
                <w:szCs w:val="16"/>
              </w:rPr>
            </w:pPr>
            <w:r>
              <w:rPr>
                <w:rFonts w:ascii="Arial" w:hAnsi="Arial"/>
                <w:b/>
                <w:bCs/>
                <w:color w:val="000000"/>
                <w:sz w:val="16"/>
                <w:szCs w:val="16"/>
              </w:rPr>
              <w:t>Total des expositions liées aux opérations de financement par titres (somme des lignes 12 à 15)</w:t>
            </w:r>
          </w:p>
        </w:tc>
        <w:tc>
          <w:tcPr>
            <w:tcW w:w="1380" w:type="dxa"/>
            <w:tcBorders>
              <w:top w:val="nil"/>
              <w:left w:val="nil"/>
              <w:bottom w:val="nil"/>
              <w:right w:val="single" w:sz="8" w:space="0" w:color="000000"/>
            </w:tcBorders>
            <w:shd w:val="clear" w:color="000000" w:fill="D9D9D9"/>
            <w:hideMark/>
          </w:tcPr>
          <w:p w14:paraId="27DE47E8" w14:textId="77777777" w:rsidR="00663568" w:rsidRPr="00216C30" w:rsidRDefault="00663568" w:rsidP="00663568">
            <w:pPr>
              <w:jc w:val="right"/>
              <w:rPr>
                <w:rFonts w:ascii="Arial" w:hAnsi="Arial" w:cs="Arial"/>
                <w:b/>
                <w:bCs/>
                <w:color w:val="000000"/>
                <w:sz w:val="20"/>
                <w:szCs w:val="20"/>
              </w:rPr>
            </w:pPr>
            <w:r>
              <w:rPr>
                <w:rFonts w:ascii="Arial" w:hAnsi="Arial"/>
                <w:b/>
                <w:bCs/>
                <w:color w:val="000000"/>
                <w:sz w:val="20"/>
                <w:szCs w:val="20"/>
              </w:rPr>
              <w:t xml:space="preserve">0 </w:t>
            </w:r>
          </w:p>
        </w:tc>
      </w:tr>
      <w:tr w:rsidR="00663568" w:rsidRPr="00663568" w14:paraId="24EA6EC3" w14:textId="77777777" w:rsidTr="00663568">
        <w:trPr>
          <w:trHeight w:val="299"/>
        </w:trPr>
        <w:tc>
          <w:tcPr>
            <w:tcW w:w="10144" w:type="dxa"/>
            <w:gridSpan w:val="3"/>
            <w:tcBorders>
              <w:top w:val="single" w:sz="8" w:space="0" w:color="auto"/>
              <w:left w:val="single" w:sz="8" w:space="0" w:color="auto"/>
              <w:bottom w:val="single" w:sz="8" w:space="0" w:color="auto"/>
              <w:right w:val="single" w:sz="8" w:space="0" w:color="000000"/>
            </w:tcBorders>
            <w:shd w:val="clear" w:color="000000" w:fill="BEBEBE"/>
            <w:hideMark/>
          </w:tcPr>
          <w:p w14:paraId="6CFC44DB" w14:textId="77777777" w:rsidR="00663568" w:rsidRPr="00864AD4" w:rsidRDefault="00663568" w:rsidP="00663568">
            <w:pPr>
              <w:jc w:val="center"/>
              <w:rPr>
                <w:rFonts w:ascii="Arial" w:hAnsi="Arial" w:cs="Arial"/>
                <w:b/>
                <w:bCs/>
                <w:color w:val="000000"/>
                <w:sz w:val="16"/>
                <w:szCs w:val="16"/>
              </w:rPr>
            </w:pPr>
            <w:r>
              <w:rPr>
                <w:rFonts w:ascii="Arial" w:hAnsi="Arial"/>
                <w:b/>
                <w:bCs/>
                <w:color w:val="000000"/>
                <w:sz w:val="16"/>
                <w:szCs w:val="16"/>
              </w:rPr>
              <w:t>Autres risques hors bilan</w:t>
            </w:r>
          </w:p>
        </w:tc>
      </w:tr>
      <w:tr w:rsidR="00DA343E" w:rsidRPr="00663568" w14:paraId="0E9AB19E"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0A7E337" w14:textId="77777777" w:rsidR="00DA343E" w:rsidRPr="00864AD4" w:rsidRDefault="00DA343E" w:rsidP="00663568">
            <w:pPr>
              <w:jc w:val="center"/>
              <w:rPr>
                <w:rFonts w:ascii="Arial" w:hAnsi="Arial" w:cs="Arial"/>
                <w:color w:val="000000"/>
                <w:sz w:val="16"/>
                <w:szCs w:val="16"/>
              </w:rPr>
            </w:pPr>
            <w:r>
              <w:rPr>
                <w:rFonts w:ascii="Arial" w:hAnsi="Arial"/>
                <w:color w:val="000000"/>
                <w:sz w:val="16"/>
                <w:szCs w:val="16"/>
              </w:rPr>
              <w:t>17</w:t>
            </w:r>
          </w:p>
        </w:tc>
        <w:tc>
          <w:tcPr>
            <w:tcW w:w="8173" w:type="dxa"/>
            <w:tcBorders>
              <w:top w:val="nil"/>
              <w:left w:val="nil"/>
              <w:bottom w:val="single" w:sz="8" w:space="0" w:color="000000"/>
              <w:right w:val="single" w:sz="8" w:space="0" w:color="000000"/>
            </w:tcBorders>
            <w:shd w:val="clear" w:color="000000" w:fill="FFFFFF"/>
            <w:hideMark/>
          </w:tcPr>
          <w:p w14:paraId="53C48D8B" w14:textId="77777777" w:rsidR="00DA343E" w:rsidRPr="00864AD4" w:rsidRDefault="00DA343E" w:rsidP="00663568">
            <w:pPr>
              <w:jc w:val="left"/>
              <w:rPr>
                <w:rFonts w:ascii="Arial" w:hAnsi="Arial" w:cs="Arial"/>
                <w:color w:val="000000"/>
                <w:sz w:val="16"/>
                <w:szCs w:val="16"/>
              </w:rPr>
            </w:pPr>
            <w:r>
              <w:rPr>
                <w:rFonts w:ascii="Arial" w:hAnsi="Arial"/>
                <w:color w:val="000000"/>
                <w:sz w:val="16"/>
                <w:szCs w:val="16"/>
              </w:rPr>
              <w:t>Risques hors bilan à un montant notionnel brut</w:t>
            </w:r>
          </w:p>
        </w:tc>
        <w:tc>
          <w:tcPr>
            <w:tcW w:w="1380" w:type="dxa"/>
            <w:tcBorders>
              <w:top w:val="nil"/>
              <w:left w:val="nil"/>
              <w:bottom w:val="single" w:sz="8" w:space="0" w:color="000000"/>
              <w:right w:val="single" w:sz="8" w:space="0" w:color="000000"/>
            </w:tcBorders>
            <w:shd w:val="clear" w:color="000000" w:fill="FFFFFF"/>
            <w:hideMark/>
          </w:tcPr>
          <w:p w14:paraId="36770229" w14:textId="6ED58617" w:rsidR="00DA343E" w:rsidRPr="00216C30" w:rsidRDefault="00366C75">
            <w:pPr>
              <w:jc w:val="right"/>
              <w:rPr>
                <w:rFonts w:ascii="Arial" w:hAnsi="Arial" w:cs="Arial"/>
                <w:color w:val="000000"/>
                <w:sz w:val="20"/>
                <w:szCs w:val="20"/>
              </w:rPr>
            </w:pPr>
            <w:r>
              <w:rPr>
                <w:rFonts w:ascii="Arial" w:hAnsi="Arial"/>
                <w:color w:val="000000"/>
                <w:sz w:val="20"/>
                <w:szCs w:val="20"/>
              </w:rPr>
              <w:t xml:space="preserve">4 356 276 </w:t>
            </w:r>
          </w:p>
        </w:tc>
      </w:tr>
      <w:tr w:rsidR="00DA343E" w:rsidRPr="00663568" w14:paraId="6CC8D820"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FFFFFF"/>
            <w:hideMark/>
          </w:tcPr>
          <w:p w14:paraId="5F9CC241" w14:textId="77777777" w:rsidR="00DA343E" w:rsidRPr="00864AD4" w:rsidRDefault="00DA343E" w:rsidP="00663568">
            <w:pPr>
              <w:jc w:val="center"/>
              <w:rPr>
                <w:rFonts w:ascii="Arial" w:hAnsi="Arial" w:cs="Arial"/>
                <w:color w:val="000000"/>
                <w:sz w:val="16"/>
                <w:szCs w:val="16"/>
              </w:rPr>
            </w:pPr>
            <w:r>
              <w:rPr>
                <w:rFonts w:ascii="Arial" w:hAnsi="Arial"/>
                <w:color w:val="000000"/>
                <w:sz w:val="16"/>
                <w:szCs w:val="16"/>
              </w:rPr>
              <w:t>18</w:t>
            </w:r>
          </w:p>
        </w:tc>
        <w:tc>
          <w:tcPr>
            <w:tcW w:w="8173" w:type="dxa"/>
            <w:tcBorders>
              <w:top w:val="nil"/>
              <w:left w:val="nil"/>
              <w:bottom w:val="single" w:sz="8" w:space="0" w:color="000000"/>
              <w:right w:val="single" w:sz="8" w:space="0" w:color="000000"/>
            </w:tcBorders>
            <w:shd w:val="clear" w:color="000000" w:fill="FFFFFF"/>
            <w:hideMark/>
          </w:tcPr>
          <w:p w14:paraId="1BD518DF" w14:textId="77777777" w:rsidR="00DA343E" w:rsidRPr="00424CC3" w:rsidRDefault="00DA343E" w:rsidP="00663568">
            <w:pPr>
              <w:jc w:val="left"/>
              <w:rPr>
                <w:rFonts w:ascii="Arial" w:hAnsi="Arial" w:cs="Arial"/>
                <w:color w:val="000000"/>
                <w:sz w:val="16"/>
                <w:szCs w:val="16"/>
              </w:rPr>
            </w:pPr>
            <w:r>
              <w:rPr>
                <w:rFonts w:ascii="Arial" w:hAnsi="Arial"/>
                <w:color w:val="000000"/>
                <w:sz w:val="16"/>
                <w:szCs w:val="16"/>
              </w:rPr>
              <w:t>(Ajustements pour conversion en montants de crédit équivalents)</w:t>
            </w:r>
          </w:p>
        </w:tc>
        <w:tc>
          <w:tcPr>
            <w:tcW w:w="1380" w:type="dxa"/>
            <w:tcBorders>
              <w:top w:val="nil"/>
              <w:left w:val="nil"/>
              <w:bottom w:val="single" w:sz="8" w:space="0" w:color="000000"/>
              <w:right w:val="single" w:sz="8" w:space="0" w:color="000000"/>
            </w:tcBorders>
            <w:shd w:val="clear" w:color="000000" w:fill="FFFFFF"/>
            <w:hideMark/>
          </w:tcPr>
          <w:p w14:paraId="5927F402" w14:textId="1086195E" w:rsidR="00DA343E" w:rsidRPr="00216C30" w:rsidRDefault="00DA343E">
            <w:pPr>
              <w:jc w:val="right"/>
              <w:rPr>
                <w:rFonts w:ascii="Arial" w:hAnsi="Arial" w:cs="Arial"/>
                <w:color w:val="000000"/>
                <w:sz w:val="20"/>
                <w:szCs w:val="20"/>
              </w:rPr>
            </w:pPr>
            <w:r>
              <w:rPr>
                <w:rFonts w:ascii="Arial" w:hAnsi="Arial"/>
                <w:color w:val="000000"/>
                <w:sz w:val="20"/>
                <w:szCs w:val="20"/>
              </w:rPr>
              <w:t>(3 920 649)</w:t>
            </w:r>
          </w:p>
        </w:tc>
      </w:tr>
      <w:tr w:rsidR="00DA343E" w:rsidRPr="00663568" w14:paraId="0A6395B4" w14:textId="77777777" w:rsidTr="00663568">
        <w:trPr>
          <w:trHeight w:val="299"/>
        </w:trPr>
        <w:tc>
          <w:tcPr>
            <w:tcW w:w="591" w:type="dxa"/>
            <w:tcBorders>
              <w:top w:val="nil"/>
              <w:left w:val="single" w:sz="8" w:space="0" w:color="000000"/>
              <w:bottom w:val="nil"/>
              <w:right w:val="single" w:sz="8" w:space="0" w:color="000000"/>
            </w:tcBorders>
            <w:shd w:val="clear" w:color="000000" w:fill="D9D9D9"/>
            <w:hideMark/>
          </w:tcPr>
          <w:p w14:paraId="701836F0" w14:textId="77777777" w:rsidR="00DA343E" w:rsidRPr="00864AD4" w:rsidRDefault="00DA343E" w:rsidP="00663568">
            <w:pPr>
              <w:jc w:val="center"/>
              <w:rPr>
                <w:rFonts w:ascii="Arial" w:hAnsi="Arial" w:cs="Arial"/>
                <w:b/>
                <w:bCs/>
                <w:color w:val="000000"/>
                <w:sz w:val="16"/>
                <w:szCs w:val="16"/>
              </w:rPr>
            </w:pPr>
            <w:r>
              <w:rPr>
                <w:rFonts w:ascii="Arial" w:hAnsi="Arial"/>
                <w:b/>
                <w:bCs/>
                <w:color w:val="000000"/>
                <w:sz w:val="16"/>
                <w:szCs w:val="16"/>
              </w:rPr>
              <w:t>19</w:t>
            </w:r>
          </w:p>
        </w:tc>
        <w:tc>
          <w:tcPr>
            <w:tcW w:w="8173" w:type="dxa"/>
            <w:tcBorders>
              <w:top w:val="nil"/>
              <w:left w:val="nil"/>
              <w:bottom w:val="nil"/>
              <w:right w:val="single" w:sz="8" w:space="0" w:color="000000"/>
            </w:tcBorders>
            <w:shd w:val="clear" w:color="000000" w:fill="D9D9D9"/>
            <w:hideMark/>
          </w:tcPr>
          <w:p w14:paraId="6C008401" w14:textId="77777777" w:rsidR="00DA343E" w:rsidRPr="00424CC3" w:rsidRDefault="00DA343E" w:rsidP="00663568">
            <w:pPr>
              <w:jc w:val="left"/>
              <w:rPr>
                <w:rFonts w:ascii="Arial" w:hAnsi="Arial" w:cs="Arial"/>
                <w:b/>
                <w:bCs/>
                <w:color w:val="000000"/>
                <w:sz w:val="16"/>
                <w:szCs w:val="16"/>
              </w:rPr>
            </w:pPr>
            <w:r>
              <w:rPr>
                <w:rFonts w:ascii="Arial" w:hAnsi="Arial"/>
                <w:b/>
                <w:bCs/>
                <w:color w:val="000000"/>
                <w:sz w:val="16"/>
                <w:szCs w:val="16"/>
              </w:rPr>
              <w:t>Éléments hors bilan (somme des lignes 17et 18)</w:t>
            </w:r>
          </w:p>
        </w:tc>
        <w:tc>
          <w:tcPr>
            <w:tcW w:w="1380" w:type="dxa"/>
            <w:tcBorders>
              <w:top w:val="nil"/>
              <w:left w:val="nil"/>
              <w:bottom w:val="nil"/>
              <w:right w:val="single" w:sz="8" w:space="0" w:color="000000"/>
            </w:tcBorders>
            <w:shd w:val="clear" w:color="000000" w:fill="D9D9D9"/>
            <w:hideMark/>
          </w:tcPr>
          <w:p w14:paraId="6AD50D14" w14:textId="1079DA85" w:rsidR="00DA343E" w:rsidRPr="00216C30" w:rsidRDefault="00EC5139">
            <w:pPr>
              <w:jc w:val="right"/>
              <w:rPr>
                <w:rFonts w:ascii="Arial" w:hAnsi="Arial" w:cs="Arial"/>
                <w:b/>
                <w:bCs/>
                <w:color w:val="000000"/>
                <w:sz w:val="20"/>
                <w:szCs w:val="20"/>
              </w:rPr>
            </w:pPr>
            <w:r>
              <w:rPr>
                <w:rFonts w:ascii="Arial" w:hAnsi="Arial"/>
                <w:b/>
                <w:bCs/>
                <w:color w:val="000000"/>
                <w:sz w:val="20"/>
                <w:szCs w:val="20"/>
              </w:rPr>
              <w:t>435 628</w:t>
            </w:r>
          </w:p>
        </w:tc>
      </w:tr>
      <w:tr w:rsidR="00663568" w:rsidRPr="00663568" w14:paraId="373BEDB2" w14:textId="77777777" w:rsidTr="00663568">
        <w:trPr>
          <w:trHeight w:val="284"/>
        </w:trPr>
        <w:tc>
          <w:tcPr>
            <w:tcW w:w="10144" w:type="dxa"/>
            <w:gridSpan w:val="3"/>
            <w:tcBorders>
              <w:top w:val="single" w:sz="8" w:space="0" w:color="auto"/>
              <w:left w:val="single" w:sz="8" w:space="0" w:color="auto"/>
              <w:bottom w:val="single" w:sz="8" w:space="0" w:color="auto"/>
              <w:right w:val="single" w:sz="8" w:space="0" w:color="000000"/>
            </w:tcBorders>
            <w:shd w:val="clear" w:color="000000" w:fill="BEBEBE"/>
            <w:hideMark/>
          </w:tcPr>
          <w:p w14:paraId="2972E159" w14:textId="77777777" w:rsidR="00663568" w:rsidRPr="00864AD4" w:rsidRDefault="00663568" w:rsidP="00663568">
            <w:pPr>
              <w:jc w:val="center"/>
              <w:rPr>
                <w:rFonts w:ascii="Arial" w:hAnsi="Arial" w:cs="Arial"/>
                <w:b/>
                <w:bCs/>
                <w:color w:val="000000"/>
                <w:sz w:val="16"/>
                <w:szCs w:val="16"/>
              </w:rPr>
            </w:pPr>
            <w:r>
              <w:rPr>
                <w:rFonts w:ascii="Arial" w:hAnsi="Arial"/>
                <w:b/>
                <w:bCs/>
                <w:color w:val="000000"/>
                <w:sz w:val="16"/>
                <w:szCs w:val="16"/>
              </w:rPr>
              <w:t>Capital catégorie 1 supplémentaire : ajustements réglementaires</w:t>
            </w:r>
          </w:p>
        </w:tc>
      </w:tr>
      <w:tr w:rsidR="00DA343E" w:rsidRPr="00663568" w14:paraId="5E938733"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D9D9D9"/>
            <w:hideMark/>
          </w:tcPr>
          <w:p w14:paraId="111AA1C1" w14:textId="77777777" w:rsidR="00DA343E" w:rsidRPr="00864AD4" w:rsidRDefault="00DA343E" w:rsidP="00663568">
            <w:pPr>
              <w:jc w:val="center"/>
              <w:rPr>
                <w:rFonts w:ascii="Arial" w:hAnsi="Arial" w:cs="Arial"/>
                <w:b/>
                <w:bCs/>
                <w:color w:val="000000"/>
                <w:sz w:val="16"/>
                <w:szCs w:val="16"/>
              </w:rPr>
            </w:pPr>
            <w:r>
              <w:rPr>
                <w:rFonts w:ascii="Arial" w:hAnsi="Arial"/>
                <w:b/>
                <w:bCs/>
                <w:color w:val="000000"/>
                <w:sz w:val="16"/>
                <w:szCs w:val="16"/>
              </w:rPr>
              <w:t>20</w:t>
            </w:r>
          </w:p>
        </w:tc>
        <w:tc>
          <w:tcPr>
            <w:tcW w:w="8173" w:type="dxa"/>
            <w:tcBorders>
              <w:top w:val="nil"/>
              <w:left w:val="nil"/>
              <w:bottom w:val="single" w:sz="8" w:space="0" w:color="000000"/>
              <w:right w:val="single" w:sz="8" w:space="0" w:color="000000"/>
            </w:tcBorders>
            <w:shd w:val="clear" w:color="000000" w:fill="D9D9D9"/>
            <w:hideMark/>
          </w:tcPr>
          <w:p w14:paraId="45BC25A8" w14:textId="77777777" w:rsidR="00DA343E" w:rsidRPr="00424CC3" w:rsidRDefault="00DA343E" w:rsidP="00663568">
            <w:pPr>
              <w:jc w:val="left"/>
              <w:rPr>
                <w:rFonts w:ascii="Arial" w:hAnsi="Arial" w:cs="Arial"/>
                <w:b/>
                <w:bCs/>
                <w:color w:val="000000"/>
                <w:sz w:val="16"/>
                <w:szCs w:val="16"/>
              </w:rPr>
            </w:pPr>
            <w:r>
              <w:rPr>
                <w:rFonts w:ascii="Arial" w:hAnsi="Arial"/>
                <w:b/>
                <w:bCs/>
                <w:color w:val="000000"/>
                <w:sz w:val="16"/>
                <w:szCs w:val="16"/>
              </w:rPr>
              <w:t>Fonds propres de catégorie 1</w:t>
            </w:r>
          </w:p>
        </w:tc>
        <w:tc>
          <w:tcPr>
            <w:tcW w:w="1380" w:type="dxa"/>
            <w:tcBorders>
              <w:top w:val="nil"/>
              <w:left w:val="nil"/>
              <w:bottom w:val="single" w:sz="8" w:space="0" w:color="000000"/>
              <w:right w:val="single" w:sz="8" w:space="0" w:color="000000"/>
            </w:tcBorders>
            <w:shd w:val="clear" w:color="000000" w:fill="D9D9D9"/>
            <w:hideMark/>
          </w:tcPr>
          <w:p w14:paraId="5DFD6EE1" w14:textId="5D49F939" w:rsidR="00DA343E" w:rsidRPr="00216C30" w:rsidRDefault="00DA343E">
            <w:pPr>
              <w:jc w:val="right"/>
              <w:rPr>
                <w:rFonts w:ascii="Arial" w:hAnsi="Arial" w:cs="Arial"/>
                <w:b/>
                <w:bCs/>
                <w:color w:val="000000"/>
                <w:sz w:val="20"/>
                <w:szCs w:val="20"/>
              </w:rPr>
            </w:pPr>
            <w:r>
              <w:rPr>
                <w:rFonts w:ascii="Arial" w:hAnsi="Arial"/>
                <w:b/>
                <w:bCs/>
                <w:color w:val="000000"/>
                <w:sz w:val="20"/>
                <w:szCs w:val="20"/>
              </w:rPr>
              <w:t xml:space="preserve">261 834 </w:t>
            </w:r>
          </w:p>
        </w:tc>
      </w:tr>
      <w:tr w:rsidR="00DA343E" w:rsidRPr="00663568" w14:paraId="2DAE55AF" w14:textId="77777777" w:rsidTr="00663568">
        <w:trPr>
          <w:trHeight w:val="299"/>
        </w:trPr>
        <w:tc>
          <w:tcPr>
            <w:tcW w:w="591" w:type="dxa"/>
            <w:tcBorders>
              <w:top w:val="nil"/>
              <w:left w:val="single" w:sz="8" w:space="0" w:color="000000"/>
              <w:bottom w:val="single" w:sz="8" w:space="0" w:color="000000"/>
              <w:right w:val="single" w:sz="8" w:space="0" w:color="000000"/>
            </w:tcBorders>
            <w:shd w:val="clear" w:color="000000" w:fill="D9D9D9"/>
            <w:hideMark/>
          </w:tcPr>
          <w:p w14:paraId="5CB6AB15" w14:textId="77777777" w:rsidR="00DA343E" w:rsidRPr="00864AD4" w:rsidRDefault="00DA343E" w:rsidP="00663568">
            <w:pPr>
              <w:jc w:val="center"/>
              <w:rPr>
                <w:rFonts w:ascii="Arial" w:hAnsi="Arial" w:cs="Arial"/>
                <w:b/>
                <w:bCs/>
                <w:color w:val="000000"/>
                <w:sz w:val="16"/>
                <w:szCs w:val="16"/>
              </w:rPr>
            </w:pPr>
            <w:r>
              <w:rPr>
                <w:rFonts w:ascii="Arial" w:hAnsi="Arial"/>
                <w:b/>
                <w:bCs/>
                <w:color w:val="000000"/>
                <w:sz w:val="16"/>
                <w:szCs w:val="16"/>
              </w:rPr>
              <w:t>21</w:t>
            </w:r>
          </w:p>
        </w:tc>
        <w:tc>
          <w:tcPr>
            <w:tcW w:w="8173" w:type="dxa"/>
            <w:tcBorders>
              <w:top w:val="nil"/>
              <w:left w:val="nil"/>
              <w:bottom w:val="single" w:sz="8" w:space="0" w:color="000000"/>
              <w:right w:val="single" w:sz="8" w:space="0" w:color="000000"/>
            </w:tcBorders>
            <w:shd w:val="clear" w:color="000000" w:fill="D9D9D9"/>
            <w:hideMark/>
          </w:tcPr>
          <w:p w14:paraId="66CE329F" w14:textId="77777777" w:rsidR="00DA343E" w:rsidRPr="00424CC3" w:rsidRDefault="00DA343E" w:rsidP="00663568">
            <w:pPr>
              <w:jc w:val="left"/>
              <w:rPr>
                <w:rFonts w:ascii="Arial" w:hAnsi="Arial" w:cs="Arial"/>
                <w:b/>
                <w:bCs/>
                <w:color w:val="000000"/>
                <w:sz w:val="16"/>
                <w:szCs w:val="16"/>
              </w:rPr>
            </w:pPr>
            <w:r>
              <w:rPr>
                <w:rFonts w:ascii="Arial" w:hAnsi="Arial"/>
                <w:b/>
                <w:bCs/>
                <w:color w:val="000000"/>
                <w:sz w:val="16"/>
                <w:szCs w:val="16"/>
              </w:rPr>
              <w:t>Total des expositions (somme des lignes 3, 11, 16 et 19)</w:t>
            </w:r>
          </w:p>
        </w:tc>
        <w:tc>
          <w:tcPr>
            <w:tcW w:w="1380" w:type="dxa"/>
            <w:tcBorders>
              <w:top w:val="nil"/>
              <w:left w:val="nil"/>
              <w:bottom w:val="single" w:sz="8" w:space="0" w:color="000000"/>
              <w:right w:val="single" w:sz="8" w:space="0" w:color="000000"/>
            </w:tcBorders>
            <w:shd w:val="clear" w:color="000000" w:fill="D9D9D9"/>
            <w:hideMark/>
          </w:tcPr>
          <w:p w14:paraId="0F78F07B" w14:textId="79EADDBD" w:rsidR="00DA343E" w:rsidRPr="00216C30" w:rsidRDefault="00DA343E">
            <w:pPr>
              <w:jc w:val="right"/>
              <w:rPr>
                <w:rFonts w:ascii="Arial" w:hAnsi="Arial" w:cs="Arial"/>
                <w:b/>
                <w:bCs/>
                <w:color w:val="000000"/>
                <w:sz w:val="20"/>
                <w:szCs w:val="20"/>
              </w:rPr>
            </w:pPr>
            <w:r>
              <w:rPr>
                <w:rFonts w:ascii="Arial" w:hAnsi="Arial"/>
                <w:b/>
                <w:bCs/>
                <w:color w:val="000000"/>
                <w:sz w:val="20"/>
                <w:szCs w:val="20"/>
              </w:rPr>
              <w:t xml:space="preserve">1 951 739 </w:t>
            </w:r>
          </w:p>
        </w:tc>
      </w:tr>
      <w:tr w:rsidR="00663568" w:rsidRPr="00663568" w14:paraId="3EDFC4ED" w14:textId="77777777" w:rsidTr="00663568">
        <w:trPr>
          <w:trHeight w:val="299"/>
        </w:trPr>
        <w:tc>
          <w:tcPr>
            <w:tcW w:w="10144" w:type="dxa"/>
            <w:gridSpan w:val="3"/>
            <w:tcBorders>
              <w:top w:val="single" w:sz="8" w:space="0" w:color="auto"/>
              <w:left w:val="single" w:sz="8" w:space="0" w:color="auto"/>
              <w:bottom w:val="single" w:sz="8" w:space="0" w:color="auto"/>
              <w:right w:val="single" w:sz="8" w:space="0" w:color="000000"/>
            </w:tcBorders>
            <w:shd w:val="clear" w:color="000000" w:fill="BEBEBE"/>
            <w:hideMark/>
          </w:tcPr>
          <w:p w14:paraId="1419DA7E" w14:textId="77777777" w:rsidR="00663568" w:rsidRPr="00864AD4" w:rsidRDefault="00663568" w:rsidP="00663568">
            <w:pPr>
              <w:jc w:val="center"/>
              <w:rPr>
                <w:rFonts w:ascii="Arial" w:hAnsi="Arial" w:cs="Arial"/>
                <w:b/>
                <w:bCs/>
                <w:color w:val="000000"/>
                <w:sz w:val="16"/>
                <w:szCs w:val="16"/>
              </w:rPr>
            </w:pPr>
            <w:r>
              <w:rPr>
                <w:rFonts w:ascii="Arial" w:hAnsi="Arial"/>
                <w:b/>
                <w:bCs/>
                <w:color w:val="000000"/>
                <w:sz w:val="16"/>
                <w:szCs w:val="16"/>
              </w:rPr>
              <w:t>Capital catégorie 1 supplémentaire : ajustements réglementaires</w:t>
            </w:r>
          </w:p>
        </w:tc>
      </w:tr>
      <w:tr w:rsidR="00316BDE" w:rsidRPr="00663568" w14:paraId="38B6A596" w14:textId="77777777" w:rsidTr="00663568">
        <w:trPr>
          <w:trHeight w:val="299"/>
        </w:trPr>
        <w:tc>
          <w:tcPr>
            <w:tcW w:w="591" w:type="dxa"/>
            <w:tcBorders>
              <w:top w:val="nil"/>
              <w:left w:val="single" w:sz="8" w:space="0" w:color="auto"/>
              <w:bottom w:val="single" w:sz="8" w:space="0" w:color="auto"/>
              <w:right w:val="single" w:sz="8" w:space="0" w:color="000000"/>
            </w:tcBorders>
            <w:shd w:val="clear" w:color="000000" w:fill="D9D9D9"/>
            <w:hideMark/>
          </w:tcPr>
          <w:p w14:paraId="299297EF" w14:textId="77777777" w:rsidR="00316BDE" w:rsidRPr="00864AD4" w:rsidRDefault="00316BDE" w:rsidP="00663568">
            <w:pPr>
              <w:jc w:val="center"/>
              <w:rPr>
                <w:rFonts w:ascii="Arial" w:hAnsi="Arial" w:cs="Arial"/>
                <w:b/>
                <w:bCs/>
                <w:color w:val="000000"/>
                <w:sz w:val="16"/>
                <w:szCs w:val="16"/>
              </w:rPr>
            </w:pPr>
            <w:r>
              <w:rPr>
                <w:rFonts w:ascii="Arial" w:hAnsi="Arial"/>
                <w:b/>
                <w:bCs/>
                <w:color w:val="000000"/>
                <w:sz w:val="16"/>
                <w:szCs w:val="16"/>
              </w:rPr>
              <w:t>22</w:t>
            </w:r>
          </w:p>
        </w:tc>
        <w:tc>
          <w:tcPr>
            <w:tcW w:w="8173" w:type="dxa"/>
            <w:tcBorders>
              <w:top w:val="nil"/>
              <w:left w:val="nil"/>
              <w:bottom w:val="single" w:sz="8" w:space="0" w:color="auto"/>
              <w:right w:val="single" w:sz="8" w:space="0" w:color="000000"/>
            </w:tcBorders>
            <w:shd w:val="clear" w:color="000000" w:fill="D9D9D9"/>
            <w:hideMark/>
          </w:tcPr>
          <w:p w14:paraId="77DB6B83" w14:textId="77777777" w:rsidR="00316BDE" w:rsidRPr="00424CC3" w:rsidRDefault="00316BDE" w:rsidP="00663568">
            <w:pPr>
              <w:jc w:val="left"/>
              <w:rPr>
                <w:rFonts w:ascii="Arial" w:hAnsi="Arial" w:cs="Arial"/>
                <w:b/>
                <w:bCs/>
                <w:color w:val="000000"/>
                <w:sz w:val="16"/>
                <w:szCs w:val="16"/>
              </w:rPr>
            </w:pPr>
            <w:r>
              <w:rPr>
                <w:rFonts w:ascii="Arial" w:hAnsi="Arial"/>
                <w:b/>
                <w:bCs/>
                <w:color w:val="000000"/>
                <w:sz w:val="16"/>
                <w:szCs w:val="16"/>
              </w:rPr>
              <w:t xml:space="preserve">Ratio de levier de Bâle III </w:t>
            </w:r>
          </w:p>
        </w:tc>
        <w:tc>
          <w:tcPr>
            <w:tcW w:w="1380" w:type="dxa"/>
            <w:tcBorders>
              <w:top w:val="nil"/>
              <w:left w:val="nil"/>
              <w:bottom w:val="single" w:sz="8" w:space="0" w:color="auto"/>
              <w:right w:val="single" w:sz="8" w:space="0" w:color="auto"/>
            </w:tcBorders>
            <w:shd w:val="clear" w:color="000000" w:fill="D9D9D9"/>
            <w:hideMark/>
          </w:tcPr>
          <w:p w14:paraId="37B86991" w14:textId="1CB0E1AD" w:rsidR="00316BDE" w:rsidRPr="00216C30" w:rsidRDefault="00EC5139" w:rsidP="00DA343E">
            <w:pPr>
              <w:jc w:val="right"/>
              <w:rPr>
                <w:rFonts w:ascii="Arial" w:hAnsi="Arial" w:cs="Arial"/>
                <w:b/>
                <w:bCs/>
                <w:color w:val="000000"/>
                <w:sz w:val="20"/>
                <w:szCs w:val="20"/>
              </w:rPr>
            </w:pPr>
            <w:r>
              <w:rPr>
                <w:rFonts w:ascii="Arial" w:hAnsi="Arial"/>
                <w:b/>
                <w:bCs/>
                <w:color w:val="000000"/>
                <w:sz w:val="20"/>
                <w:szCs w:val="20"/>
              </w:rPr>
              <w:t>13,4%</w:t>
            </w:r>
          </w:p>
        </w:tc>
      </w:tr>
    </w:tbl>
    <w:p w14:paraId="51FB3106" w14:textId="77777777" w:rsidR="00663568" w:rsidRDefault="00663568" w:rsidP="00E53226">
      <w:pPr>
        <w:rPr>
          <w:lang w:val="en-US"/>
        </w:rPr>
      </w:pPr>
    </w:p>
    <w:p w14:paraId="2C94A299" w14:textId="77777777" w:rsidR="008608BA" w:rsidRDefault="008608BA" w:rsidP="00E53226">
      <w:pPr>
        <w:rPr>
          <w:lang w:val="en-US"/>
        </w:rPr>
      </w:pPr>
    </w:p>
    <w:p w14:paraId="5D2EA53E" w14:textId="77777777" w:rsidR="008608BA" w:rsidRDefault="008608BA" w:rsidP="00E53226">
      <w:pPr>
        <w:rPr>
          <w:lang w:val="en-US"/>
        </w:rPr>
      </w:pPr>
    </w:p>
    <w:p w14:paraId="6186174F" w14:textId="77777777" w:rsidR="00631FE2" w:rsidRDefault="00631FE2" w:rsidP="00E53226">
      <w:pPr>
        <w:rPr>
          <w:lang w:val="en-US"/>
        </w:rPr>
      </w:pPr>
    </w:p>
    <w:p w14:paraId="70391F18" w14:textId="77777777" w:rsidR="00663568" w:rsidRDefault="00663568" w:rsidP="00E53226">
      <w:pPr>
        <w:rPr>
          <w:lang w:val="en-US"/>
        </w:rPr>
      </w:pPr>
    </w:p>
    <w:p w14:paraId="5A6ABD0D" w14:textId="77777777" w:rsidR="00663568" w:rsidRDefault="00663568" w:rsidP="00E53226">
      <w:pPr>
        <w:rPr>
          <w:lang w:val="en-US"/>
        </w:rPr>
      </w:pPr>
    </w:p>
    <w:p w14:paraId="4BE373C3" w14:textId="77777777" w:rsidR="00663568" w:rsidRDefault="00663568" w:rsidP="00E53226">
      <w:pPr>
        <w:rPr>
          <w:lang w:val="en-US"/>
        </w:rPr>
      </w:pPr>
    </w:p>
    <w:p w14:paraId="6FDCEA16" w14:textId="77777777" w:rsidR="00663568" w:rsidRDefault="00663568" w:rsidP="00E53226">
      <w:pPr>
        <w:rPr>
          <w:lang w:val="en-US"/>
        </w:rPr>
      </w:pPr>
    </w:p>
    <w:p w14:paraId="090D3D90" w14:textId="77777777" w:rsidR="00813F71" w:rsidRPr="00216C30" w:rsidRDefault="00B0230E" w:rsidP="00F0411C">
      <w:pPr>
        <w:pStyle w:val="Heading1"/>
        <w:tabs>
          <w:tab w:val="left" w:pos="90"/>
        </w:tabs>
        <w:ind w:left="90" w:hanging="90"/>
        <w:rPr>
          <w:rFonts w:ascii="Arial" w:hAnsi="Arial" w:cs="Arial"/>
        </w:rPr>
      </w:pPr>
      <w:bookmarkStart w:id="29" w:name="_Toc514152869"/>
      <w:bookmarkStart w:id="30" w:name="_Toc39172708"/>
      <w:r>
        <w:rPr>
          <w:rFonts w:ascii="Arial" w:hAnsi="Arial"/>
        </w:rPr>
        <w:lastRenderedPageBreak/>
        <w:t>ANNEXE B : Risque de crédit</w:t>
      </w:r>
      <w:bookmarkEnd w:id="29"/>
      <w:bookmarkEnd w:id="30"/>
      <w:r>
        <w:rPr>
          <w:rFonts w:ascii="Arial" w:hAnsi="Arial"/>
        </w:rPr>
        <w:t xml:space="preserve"> </w:t>
      </w:r>
    </w:p>
    <w:p w14:paraId="5BFF829F" w14:textId="77777777" w:rsidR="00B0230E" w:rsidRPr="00216C30" w:rsidRDefault="00DC2083" w:rsidP="00F0411C">
      <w:pPr>
        <w:pStyle w:val="Heading2"/>
        <w:ind w:left="0"/>
        <w:jc w:val="left"/>
        <w:rPr>
          <w:rFonts w:ascii="Arial" w:hAnsi="Arial" w:cs="Arial"/>
          <w:i w:val="0"/>
        </w:rPr>
      </w:pPr>
      <w:bookmarkStart w:id="31" w:name="_Toc514152870"/>
      <w:bookmarkStart w:id="32" w:name="_Toc39172709"/>
      <w:r>
        <w:rPr>
          <w:rFonts w:ascii="Arial" w:hAnsi="Arial"/>
          <w:i w:val="0"/>
        </w:rPr>
        <w:t>DÉCLARATIONS GÉNÉRALES ET QUANTITATIVES</w:t>
      </w:r>
      <w:bookmarkEnd w:id="31"/>
      <w:bookmarkEnd w:id="32"/>
    </w:p>
    <w:p w14:paraId="7442E846" w14:textId="77777777" w:rsidR="005C0068" w:rsidRPr="00216C30" w:rsidRDefault="008B711F" w:rsidP="005C0068">
      <w:pPr>
        <w:rPr>
          <w:rFonts w:ascii="Arial" w:hAnsi="Arial" w:cs="Arial"/>
        </w:rPr>
      </w:pPr>
      <w:r>
        <w:rPr>
          <w:rFonts w:ascii="Arial" w:hAnsi="Arial"/>
        </w:rPr>
        <w:t>Les informations suivantes fournissent une analyse quantitative de l’ensemble du portefeuille de cartes de crédit de la Banque par solde de compte, limite de crédit, défaillance et secteur géographique.</w:t>
      </w:r>
    </w:p>
    <w:p w14:paraId="45D5AF74" w14:textId="77777777" w:rsidR="00AC5F90" w:rsidRPr="00780C43" w:rsidRDefault="00AC5F90" w:rsidP="005C0068">
      <w:pPr>
        <w:rPr>
          <w:rFonts w:ascii="Arial" w:hAnsi="Arial" w:cs="Arial"/>
        </w:rPr>
      </w:pPr>
    </w:p>
    <w:p w14:paraId="31B8CFE1" w14:textId="77777777" w:rsidR="00052835" w:rsidRPr="00780C43" w:rsidRDefault="00052835" w:rsidP="005C0068">
      <w:pPr>
        <w:rPr>
          <w:rFonts w:ascii="Arial" w:hAnsi="Arial" w:cs="Arial"/>
        </w:rPr>
      </w:pPr>
    </w:p>
    <w:tbl>
      <w:tblPr>
        <w:tblW w:w="7406" w:type="dxa"/>
        <w:tblInd w:w="89" w:type="dxa"/>
        <w:tblLook w:val="04A0" w:firstRow="1" w:lastRow="0" w:firstColumn="1" w:lastColumn="0" w:noHBand="0" w:noVBand="1"/>
      </w:tblPr>
      <w:tblGrid>
        <w:gridCol w:w="3799"/>
        <w:gridCol w:w="1954"/>
        <w:gridCol w:w="1653"/>
      </w:tblGrid>
      <w:tr w:rsidR="00AE66C5" w:rsidRPr="00864AD4" w14:paraId="47E65F0B" w14:textId="77777777" w:rsidTr="00AE66C5">
        <w:trPr>
          <w:trHeight w:val="637"/>
        </w:trPr>
        <w:tc>
          <w:tcPr>
            <w:tcW w:w="3799" w:type="dxa"/>
            <w:tcBorders>
              <w:top w:val="single" w:sz="8" w:space="0" w:color="auto"/>
              <w:left w:val="single" w:sz="8" w:space="0" w:color="auto"/>
              <w:bottom w:val="single" w:sz="4" w:space="0" w:color="auto"/>
              <w:right w:val="nil"/>
            </w:tcBorders>
            <w:shd w:val="clear" w:color="auto" w:fill="auto"/>
            <w:noWrap/>
            <w:vAlign w:val="bottom"/>
            <w:hideMark/>
          </w:tcPr>
          <w:p w14:paraId="1A0BC34E" w14:textId="77777777" w:rsidR="00AE66C5" w:rsidRPr="00216C30" w:rsidRDefault="00AE66C5" w:rsidP="00AE66C5">
            <w:pPr>
              <w:jc w:val="left"/>
              <w:rPr>
                <w:rFonts w:ascii="Arial" w:hAnsi="Arial" w:cs="Arial"/>
                <w:b/>
                <w:bCs/>
                <w:color w:val="000000"/>
                <w:sz w:val="22"/>
                <w:szCs w:val="22"/>
              </w:rPr>
            </w:pPr>
            <w:r>
              <w:rPr>
                <w:rFonts w:ascii="Arial" w:hAnsi="Arial"/>
                <w:b/>
                <w:bCs/>
                <w:color w:val="000000"/>
                <w:sz w:val="22"/>
                <w:szCs w:val="22"/>
              </w:rPr>
              <w:t>Le solde des postes</w:t>
            </w:r>
          </w:p>
        </w:tc>
        <w:tc>
          <w:tcPr>
            <w:tcW w:w="1954" w:type="dxa"/>
            <w:tcBorders>
              <w:top w:val="single" w:sz="8" w:space="0" w:color="auto"/>
              <w:left w:val="nil"/>
              <w:bottom w:val="single" w:sz="4" w:space="0" w:color="auto"/>
              <w:right w:val="nil"/>
            </w:tcBorders>
            <w:shd w:val="clear" w:color="auto" w:fill="auto"/>
            <w:vAlign w:val="bottom"/>
            <w:hideMark/>
          </w:tcPr>
          <w:p w14:paraId="505055A3" w14:textId="77777777" w:rsidR="00AE66C5" w:rsidRPr="00216C30" w:rsidRDefault="00AE66C5" w:rsidP="00AE66C5">
            <w:pPr>
              <w:jc w:val="right"/>
              <w:rPr>
                <w:rFonts w:ascii="Arial" w:hAnsi="Arial" w:cs="Arial"/>
                <w:b/>
                <w:bCs/>
                <w:color w:val="000000"/>
                <w:sz w:val="22"/>
                <w:szCs w:val="22"/>
              </w:rPr>
            </w:pPr>
            <w:r>
              <w:rPr>
                <w:rFonts w:ascii="Arial" w:hAnsi="Arial"/>
                <w:b/>
                <w:bCs/>
                <w:color w:val="000000"/>
                <w:sz w:val="22"/>
                <w:szCs w:val="22"/>
              </w:rPr>
              <w:t>Créances</w:t>
            </w:r>
          </w:p>
        </w:tc>
        <w:tc>
          <w:tcPr>
            <w:tcW w:w="1653" w:type="dxa"/>
            <w:tcBorders>
              <w:top w:val="single" w:sz="8" w:space="0" w:color="auto"/>
              <w:left w:val="nil"/>
              <w:bottom w:val="single" w:sz="4" w:space="0" w:color="auto"/>
              <w:right w:val="single" w:sz="8" w:space="0" w:color="auto"/>
            </w:tcBorders>
            <w:shd w:val="clear" w:color="auto" w:fill="auto"/>
            <w:vAlign w:val="bottom"/>
            <w:hideMark/>
          </w:tcPr>
          <w:p w14:paraId="34F220F0" w14:textId="77777777" w:rsidR="00AE66C5" w:rsidRPr="00216C30" w:rsidRDefault="00AE66C5" w:rsidP="00AE66C5">
            <w:pPr>
              <w:jc w:val="right"/>
              <w:rPr>
                <w:rFonts w:ascii="Arial" w:hAnsi="Arial" w:cs="Arial"/>
                <w:b/>
                <w:bCs/>
                <w:color w:val="000000"/>
                <w:sz w:val="22"/>
                <w:szCs w:val="22"/>
              </w:rPr>
            </w:pPr>
            <w:r>
              <w:rPr>
                <w:rFonts w:ascii="Arial" w:hAnsi="Arial"/>
                <w:b/>
                <w:bCs/>
                <w:color w:val="000000"/>
                <w:sz w:val="22"/>
                <w:szCs w:val="22"/>
              </w:rPr>
              <w:t>% des créances</w:t>
            </w:r>
          </w:p>
        </w:tc>
      </w:tr>
      <w:tr w:rsidR="00EC5139" w:rsidRPr="00864AD4" w14:paraId="20895DBA" w14:textId="77777777" w:rsidTr="00AE66C5">
        <w:trPr>
          <w:trHeight w:val="335"/>
        </w:trPr>
        <w:tc>
          <w:tcPr>
            <w:tcW w:w="3799" w:type="dxa"/>
            <w:tcBorders>
              <w:top w:val="nil"/>
              <w:left w:val="single" w:sz="8" w:space="0" w:color="auto"/>
              <w:bottom w:val="nil"/>
              <w:right w:val="nil"/>
            </w:tcBorders>
            <w:shd w:val="clear" w:color="auto" w:fill="auto"/>
            <w:noWrap/>
            <w:vAlign w:val="bottom"/>
            <w:hideMark/>
          </w:tcPr>
          <w:p w14:paraId="6BD90A40"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Soldes créditeurs</w:t>
            </w:r>
          </w:p>
        </w:tc>
        <w:tc>
          <w:tcPr>
            <w:tcW w:w="1954" w:type="dxa"/>
            <w:tcBorders>
              <w:top w:val="nil"/>
              <w:left w:val="nil"/>
              <w:bottom w:val="nil"/>
              <w:right w:val="nil"/>
            </w:tcBorders>
            <w:shd w:val="clear" w:color="auto" w:fill="auto"/>
            <w:noWrap/>
            <w:vAlign w:val="bottom"/>
            <w:hideMark/>
          </w:tcPr>
          <w:p w14:paraId="006B309D" w14:textId="48CE66B0" w:rsidR="00EC5139" w:rsidRPr="00EC5139" w:rsidRDefault="00EC5139" w:rsidP="00EC5139">
            <w:pPr>
              <w:jc w:val="right"/>
              <w:rPr>
                <w:rFonts w:ascii="Arial" w:hAnsi="Arial" w:cs="Arial"/>
                <w:color w:val="000000"/>
                <w:sz w:val="22"/>
                <w:szCs w:val="22"/>
              </w:rPr>
            </w:pPr>
            <w:r>
              <w:rPr>
                <w:rFonts w:ascii="Arial" w:hAnsi="Arial"/>
                <w:color w:val="000000"/>
                <w:sz w:val="22"/>
                <w:szCs w:val="22"/>
              </w:rPr>
              <w:t>(11 083 $)</w:t>
            </w:r>
          </w:p>
        </w:tc>
        <w:tc>
          <w:tcPr>
            <w:tcW w:w="1653" w:type="dxa"/>
            <w:tcBorders>
              <w:top w:val="nil"/>
              <w:left w:val="nil"/>
              <w:bottom w:val="nil"/>
              <w:right w:val="single" w:sz="8" w:space="0" w:color="auto"/>
            </w:tcBorders>
            <w:shd w:val="clear" w:color="auto" w:fill="auto"/>
            <w:noWrap/>
            <w:vAlign w:val="bottom"/>
            <w:hideMark/>
          </w:tcPr>
          <w:p w14:paraId="2B34B826" w14:textId="540F77CB" w:rsidR="00EC5139" w:rsidRPr="00EC5139" w:rsidRDefault="00EC5139" w:rsidP="00EC5139">
            <w:pPr>
              <w:jc w:val="right"/>
              <w:rPr>
                <w:rFonts w:ascii="Arial" w:hAnsi="Arial" w:cs="Arial"/>
                <w:color w:val="000000"/>
                <w:sz w:val="22"/>
                <w:szCs w:val="22"/>
              </w:rPr>
            </w:pPr>
            <w:r>
              <w:rPr>
                <w:rFonts w:ascii="Arial" w:hAnsi="Arial"/>
                <w:color w:val="000000"/>
                <w:sz w:val="22"/>
                <w:szCs w:val="22"/>
              </w:rPr>
              <w:t>-0,8 %</w:t>
            </w:r>
          </w:p>
        </w:tc>
      </w:tr>
      <w:tr w:rsidR="00EC5139" w:rsidRPr="00864AD4" w14:paraId="65543C71" w14:textId="77777777" w:rsidTr="00AE66C5">
        <w:trPr>
          <w:trHeight w:val="335"/>
        </w:trPr>
        <w:tc>
          <w:tcPr>
            <w:tcW w:w="3799" w:type="dxa"/>
            <w:tcBorders>
              <w:top w:val="nil"/>
              <w:left w:val="single" w:sz="8" w:space="0" w:color="auto"/>
              <w:bottom w:val="nil"/>
              <w:right w:val="nil"/>
            </w:tcBorders>
            <w:shd w:val="clear" w:color="auto" w:fill="auto"/>
            <w:noWrap/>
            <w:vAlign w:val="bottom"/>
            <w:hideMark/>
          </w:tcPr>
          <w:p w14:paraId="50DD7855"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Moins que ou égal à 500,00 $</w:t>
            </w:r>
          </w:p>
        </w:tc>
        <w:tc>
          <w:tcPr>
            <w:tcW w:w="1954" w:type="dxa"/>
            <w:tcBorders>
              <w:top w:val="nil"/>
              <w:left w:val="nil"/>
              <w:bottom w:val="nil"/>
              <w:right w:val="nil"/>
            </w:tcBorders>
            <w:shd w:val="clear" w:color="auto" w:fill="auto"/>
            <w:noWrap/>
            <w:vAlign w:val="bottom"/>
            <w:hideMark/>
          </w:tcPr>
          <w:p w14:paraId="5B5E2936" w14:textId="31465AA9"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58 506 $ </w:t>
            </w:r>
          </w:p>
        </w:tc>
        <w:tc>
          <w:tcPr>
            <w:tcW w:w="1653" w:type="dxa"/>
            <w:tcBorders>
              <w:top w:val="nil"/>
              <w:left w:val="nil"/>
              <w:bottom w:val="nil"/>
              <w:right w:val="single" w:sz="8" w:space="0" w:color="auto"/>
            </w:tcBorders>
            <w:shd w:val="clear" w:color="auto" w:fill="auto"/>
            <w:noWrap/>
            <w:vAlign w:val="bottom"/>
            <w:hideMark/>
          </w:tcPr>
          <w:p w14:paraId="465FD3FC" w14:textId="7310CE5F" w:rsidR="00EC5139" w:rsidRPr="00EC5139" w:rsidRDefault="00EC5139" w:rsidP="00EC5139">
            <w:pPr>
              <w:jc w:val="right"/>
              <w:rPr>
                <w:rFonts w:ascii="Arial" w:hAnsi="Arial" w:cs="Arial"/>
                <w:color w:val="000000"/>
                <w:sz w:val="22"/>
                <w:szCs w:val="22"/>
              </w:rPr>
            </w:pPr>
            <w:r>
              <w:rPr>
                <w:rFonts w:ascii="Arial" w:hAnsi="Arial"/>
                <w:color w:val="000000"/>
                <w:sz w:val="22"/>
                <w:szCs w:val="22"/>
              </w:rPr>
              <w:t>4,4 %</w:t>
            </w:r>
          </w:p>
        </w:tc>
      </w:tr>
      <w:tr w:rsidR="00EC5139" w:rsidRPr="00864AD4" w14:paraId="08EDAB48" w14:textId="77777777" w:rsidTr="00AE66C5">
        <w:trPr>
          <w:trHeight w:val="335"/>
        </w:trPr>
        <w:tc>
          <w:tcPr>
            <w:tcW w:w="3799" w:type="dxa"/>
            <w:tcBorders>
              <w:top w:val="nil"/>
              <w:left w:val="single" w:sz="8" w:space="0" w:color="auto"/>
              <w:bottom w:val="nil"/>
              <w:right w:val="nil"/>
            </w:tcBorders>
            <w:shd w:val="clear" w:color="auto" w:fill="auto"/>
            <w:noWrap/>
            <w:vAlign w:val="bottom"/>
            <w:hideMark/>
          </w:tcPr>
          <w:p w14:paraId="6B9FA958"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500,01 $ - 1 000,00 $</w:t>
            </w:r>
          </w:p>
        </w:tc>
        <w:tc>
          <w:tcPr>
            <w:tcW w:w="1954" w:type="dxa"/>
            <w:tcBorders>
              <w:top w:val="nil"/>
              <w:left w:val="nil"/>
              <w:bottom w:val="nil"/>
              <w:right w:val="nil"/>
            </w:tcBorders>
            <w:shd w:val="clear" w:color="auto" w:fill="auto"/>
            <w:noWrap/>
            <w:vAlign w:val="bottom"/>
            <w:hideMark/>
          </w:tcPr>
          <w:p w14:paraId="67307D31" w14:textId="66CA0F91"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92 355 $ </w:t>
            </w:r>
          </w:p>
        </w:tc>
        <w:tc>
          <w:tcPr>
            <w:tcW w:w="1653" w:type="dxa"/>
            <w:tcBorders>
              <w:top w:val="nil"/>
              <w:left w:val="nil"/>
              <w:bottom w:val="nil"/>
              <w:right w:val="single" w:sz="8" w:space="0" w:color="auto"/>
            </w:tcBorders>
            <w:shd w:val="clear" w:color="auto" w:fill="auto"/>
            <w:noWrap/>
            <w:vAlign w:val="bottom"/>
            <w:hideMark/>
          </w:tcPr>
          <w:p w14:paraId="4A3FB41D" w14:textId="70C40DA8" w:rsidR="00EC5139" w:rsidRPr="00EC5139" w:rsidRDefault="00EC5139" w:rsidP="00EC5139">
            <w:pPr>
              <w:jc w:val="right"/>
              <w:rPr>
                <w:rFonts w:ascii="Arial" w:hAnsi="Arial" w:cs="Arial"/>
                <w:color w:val="000000"/>
                <w:sz w:val="22"/>
                <w:szCs w:val="22"/>
              </w:rPr>
            </w:pPr>
            <w:r>
              <w:rPr>
                <w:rFonts w:ascii="Arial" w:hAnsi="Arial"/>
                <w:color w:val="000000"/>
                <w:sz w:val="22"/>
                <w:szCs w:val="22"/>
              </w:rPr>
              <w:t>7,0 %</w:t>
            </w:r>
          </w:p>
        </w:tc>
      </w:tr>
      <w:tr w:rsidR="00EC5139" w:rsidRPr="00864AD4" w14:paraId="37176B06" w14:textId="77777777" w:rsidTr="00AE66C5">
        <w:trPr>
          <w:trHeight w:val="335"/>
        </w:trPr>
        <w:tc>
          <w:tcPr>
            <w:tcW w:w="3799" w:type="dxa"/>
            <w:tcBorders>
              <w:top w:val="nil"/>
              <w:left w:val="single" w:sz="8" w:space="0" w:color="auto"/>
              <w:bottom w:val="nil"/>
              <w:right w:val="nil"/>
            </w:tcBorders>
            <w:shd w:val="clear" w:color="auto" w:fill="auto"/>
            <w:noWrap/>
            <w:vAlign w:val="bottom"/>
            <w:hideMark/>
          </w:tcPr>
          <w:p w14:paraId="20D0AE78"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1 000,01 $ - 3 000,00 $</w:t>
            </w:r>
          </w:p>
        </w:tc>
        <w:tc>
          <w:tcPr>
            <w:tcW w:w="1954" w:type="dxa"/>
            <w:tcBorders>
              <w:top w:val="nil"/>
              <w:left w:val="nil"/>
              <w:bottom w:val="nil"/>
              <w:right w:val="nil"/>
            </w:tcBorders>
            <w:shd w:val="clear" w:color="auto" w:fill="auto"/>
            <w:noWrap/>
            <w:vAlign w:val="bottom"/>
            <w:hideMark/>
          </w:tcPr>
          <w:p w14:paraId="00C1E5BF" w14:textId="2C4CDA06"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326 973 $ </w:t>
            </w:r>
          </w:p>
        </w:tc>
        <w:tc>
          <w:tcPr>
            <w:tcW w:w="1653" w:type="dxa"/>
            <w:tcBorders>
              <w:top w:val="nil"/>
              <w:left w:val="nil"/>
              <w:bottom w:val="nil"/>
              <w:right w:val="single" w:sz="8" w:space="0" w:color="auto"/>
            </w:tcBorders>
            <w:shd w:val="clear" w:color="auto" w:fill="auto"/>
            <w:noWrap/>
            <w:vAlign w:val="bottom"/>
            <w:hideMark/>
          </w:tcPr>
          <w:p w14:paraId="2997940C" w14:textId="1B54D28D" w:rsidR="00EC5139" w:rsidRPr="00EC5139" w:rsidRDefault="00EC5139" w:rsidP="00EC5139">
            <w:pPr>
              <w:jc w:val="right"/>
              <w:rPr>
                <w:rFonts w:ascii="Arial" w:hAnsi="Arial" w:cs="Arial"/>
                <w:color w:val="000000"/>
                <w:sz w:val="22"/>
                <w:szCs w:val="22"/>
              </w:rPr>
            </w:pPr>
            <w:r>
              <w:rPr>
                <w:rFonts w:ascii="Arial" w:hAnsi="Arial"/>
                <w:color w:val="000000"/>
                <w:sz w:val="22"/>
                <w:szCs w:val="22"/>
              </w:rPr>
              <w:t>24,9 %</w:t>
            </w:r>
          </w:p>
        </w:tc>
      </w:tr>
      <w:tr w:rsidR="00EC5139" w:rsidRPr="00864AD4" w14:paraId="685B1476" w14:textId="77777777" w:rsidTr="00AE66C5">
        <w:trPr>
          <w:trHeight w:val="335"/>
        </w:trPr>
        <w:tc>
          <w:tcPr>
            <w:tcW w:w="3799" w:type="dxa"/>
            <w:tcBorders>
              <w:top w:val="nil"/>
              <w:left w:val="single" w:sz="8" w:space="0" w:color="auto"/>
              <w:bottom w:val="nil"/>
              <w:right w:val="nil"/>
            </w:tcBorders>
            <w:shd w:val="clear" w:color="auto" w:fill="auto"/>
            <w:noWrap/>
            <w:vAlign w:val="bottom"/>
            <w:hideMark/>
          </w:tcPr>
          <w:p w14:paraId="1871A248"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3 000,01 $ - 5 000,00 $</w:t>
            </w:r>
          </w:p>
        </w:tc>
        <w:tc>
          <w:tcPr>
            <w:tcW w:w="1954" w:type="dxa"/>
            <w:tcBorders>
              <w:top w:val="nil"/>
              <w:left w:val="nil"/>
              <w:bottom w:val="nil"/>
              <w:right w:val="nil"/>
            </w:tcBorders>
            <w:shd w:val="clear" w:color="auto" w:fill="auto"/>
            <w:noWrap/>
            <w:vAlign w:val="bottom"/>
            <w:hideMark/>
          </w:tcPr>
          <w:p w14:paraId="5A6B5EE6" w14:textId="201E31CF"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254 690 $ </w:t>
            </w:r>
          </w:p>
        </w:tc>
        <w:tc>
          <w:tcPr>
            <w:tcW w:w="1653" w:type="dxa"/>
            <w:tcBorders>
              <w:top w:val="nil"/>
              <w:left w:val="nil"/>
              <w:bottom w:val="nil"/>
              <w:right w:val="single" w:sz="8" w:space="0" w:color="auto"/>
            </w:tcBorders>
            <w:shd w:val="clear" w:color="auto" w:fill="auto"/>
            <w:noWrap/>
            <w:vAlign w:val="bottom"/>
            <w:hideMark/>
          </w:tcPr>
          <w:p w14:paraId="642486FA" w14:textId="416989B9" w:rsidR="00EC5139" w:rsidRPr="00EC5139" w:rsidRDefault="00EC5139" w:rsidP="00EC5139">
            <w:pPr>
              <w:jc w:val="right"/>
              <w:rPr>
                <w:rFonts w:ascii="Arial" w:hAnsi="Arial" w:cs="Arial"/>
                <w:color w:val="000000"/>
                <w:sz w:val="22"/>
                <w:szCs w:val="22"/>
              </w:rPr>
            </w:pPr>
            <w:r>
              <w:rPr>
                <w:rFonts w:ascii="Arial" w:hAnsi="Arial"/>
                <w:color w:val="000000"/>
                <w:sz w:val="22"/>
                <w:szCs w:val="22"/>
              </w:rPr>
              <w:t>19,4 %</w:t>
            </w:r>
          </w:p>
        </w:tc>
      </w:tr>
      <w:tr w:rsidR="00EC5139" w:rsidRPr="00864AD4" w14:paraId="7989060C" w14:textId="77777777" w:rsidTr="00AE66C5">
        <w:trPr>
          <w:trHeight w:val="335"/>
        </w:trPr>
        <w:tc>
          <w:tcPr>
            <w:tcW w:w="3799" w:type="dxa"/>
            <w:tcBorders>
              <w:top w:val="nil"/>
              <w:left w:val="single" w:sz="8" w:space="0" w:color="auto"/>
              <w:bottom w:val="nil"/>
              <w:right w:val="nil"/>
            </w:tcBorders>
            <w:shd w:val="clear" w:color="auto" w:fill="auto"/>
            <w:noWrap/>
            <w:vAlign w:val="bottom"/>
            <w:hideMark/>
          </w:tcPr>
          <w:p w14:paraId="092CE570"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5 000,01 $ - 10 000,00 $</w:t>
            </w:r>
          </w:p>
        </w:tc>
        <w:tc>
          <w:tcPr>
            <w:tcW w:w="1954" w:type="dxa"/>
            <w:tcBorders>
              <w:top w:val="nil"/>
              <w:left w:val="nil"/>
              <w:bottom w:val="nil"/>
              <w:right w:val="nil"/>
            </w:tcBorders>
            <w:shd w:val="clear" w:color="auto" w:fill="auto"/>
            <w:noWrap/>
            <w:vAlign w:val="bottom"/>
            <w:hideMark/>
          </w:tcPr>
          <w:p w14:paraId="1A6AA2C0" w14:textId="08D5488A"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419 113 $ </w:t>
            </w:r>
          </w:p>
        </w:tc>
        <w:tc>
          <w:tcPr>
            <w:tcW w:w="1653" w:type="dxa"/>
            <w:tcBorders>
              <w:top w:val="nil"/>
              <w:left w:val="nil"/>
              <w:bottom w:val="nil"/>
              <w:right w:val="single" w:sz="8" w:space="0" w:color="auto"/>
            </w:tcBorders>
            <w:shd w:val="clear" w:color="auto" w:fill="auto"/>
            <w:noWrap/>
            <w:vAlign w:val="bottom"/>
            <w:hideMark/>
          </w:tcPr>
          <w:p w14:paraId="07F267E9" w14:textId="794C90CC" w:rsidR="00EC5139" w:rsidRPr="00EC5139" w:rsidRDefault="00EC5139" w:rsidP="00EC5139">
            <w:pPr>
              <w:jc w:val="right"/>
              <w:rPr>
                <w:rFonts w:ascii="Arial" w:hAnsi="Arial" w:cs="Arial"/>
                <w:color w:val="000000"/>
                <w:sz w:val="22"/>
                <w:szCs w:val="22"/>
              </w:rPr>
            </w:pPr>
            <w:r>
              <w:rPr>
                <w:rFonts w:ascii="Arial" w:hAnsi="Arial"/>
                <w:color w:val="000000"/>
                <w:sz w:val="22"/>
                <w:szCs w:val="22"/>
              </w:rPr>
              <w:t>31,9 %</w:t>
            </w:r>
          </w:p>
        </w:tc>
      </w:tr>
      <w:tr w:rsidR="00EC5139" w:rsidRPr="00864AD4" w14:paraId="75C425C4" w14:textId="77777777" w:rsidTr="00AE66C5">
        <w:trPr>
          <w:trHeight w:val="335"/>
        </w:trPr>
        <w:tc>
          <w:tcPr>
            <w:tcW w:w="3799" w:type="dxa"/>
            <w:tcBorders>
              <w:top w:val="nil"/>
              <w:left w:val="single" w:sz="8" w:space="0" w:color="auto"/>
              <w:bottom w:val="single" w:sz="4" w:space="0" w:color="auto"/>
              <w:right w:val="nil"/>
            </w:tcBorders>
            <w:shd w:val="clear" w:color="auto" w:fill="auto"/>
            <w:noWrap/>
            <w:vAlign w:val="bottom"/>
            <w:hideMark/>
          </w:tcPr>
          <w:p w14:paraId="18B9E13D"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Supérieur à 10 000,00 $</w:t>
            </w:r>
          </w:p>
        </w:tc>
        <w:tc>
          <w:tcPr>
            <w:tcW w:w="1954" w:type="dxa"/>
            <w:tcBorders>
              <w:top w:val="nil"/>
              <w:left w:val="nil"/>
              <w:bottom w:val="single" w:sz="4" w:space="0" w:color="auto"/>
              <w:right w:val="nil"/>
            </w:tcBorders>
            <w:shd w:val="clear" w:color="auto" w:fill="auto"/>
            <w:noWrap/>
            <w:vAlign w:val="bottom"/>
            <w:hideMark/>
          </w:tcPr>
          <w:p w14:paraId="2E02A3C6" w14:textId="095BEAEF"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174 395 $ </w:t>
            </w:r>
          </w:p>
        </w:tc>
        <w:tc>
          <w:tcPr>
            <w:tcW w:w="1653" w:type="dxa"/>
            <w:tcBorders>
              <w:top w:val="nil"/>
              <w:left w:val="nil"/>
              <w:bottom w:val="single" w:sz="4" w:space="0" w:color="auto"/>
              <w:right w:val="single" w:sz="8" w:space="0" w:color="auto"/>
            </w:tcBorders>
            <w:shd w:val="clear" w:color="auto" w:fill="auto"/>
            <w:noWrap/>
            <w:vAlign w:val="bottom"/>
            <w:hideMark/>
          </w:tcPr>
          <w:p w14:paraId="3651A8C4" w14:textId="265079DD" w:rsidR="00EC5139" w:rsidRPr="00EC5139" w:rsidRDefault="00EC5139" w:rsidP="00EC5139">
            <w:pPr>
              <w:jc w:val="right"/>
              <w:rPr>
                <w:rFonts w:ascii="Arial" w:hAnsi="Arial" w:cs="Arial"/>
                <w:color w:val="000000"/>
                <w:sz w:val="22"/>
                <w:szCs w:val="22"/>
              </w:rPr>
            </w:pPr>
            <w:r>
              <w:rPr>
                <w:rFonts w:ascii="Arial" w:hAnsi="Arial"/>
                <w:color w:val="000000"/>
                <w:sz w:val="22"/>
                <w:szCs w:val="22"/>
              </w:rPr>
              <w:t>13,3 %</w:t>
            </w:r>
          </w:p>
        </w:tc>
      </w:tr>
      <w:tr w:rsidR="00EC5139" w:rsidRPr="00864AD4" w14:paraId="5A737AA5" w14:textId="77777777" w:rsidTr="00AE66C5">
        <w:trPr>
          <w:trHeight w:val="402"/>
        </w:trPr>
        <w:tc>
          <w:tcPr>
            <w:tcW w:w="3799" w:type="dxa"/>
            <w:tcBorders>
              <w:top w:val="nil"/>
              <w:left w:val="single" w:sz="8" w:space="0" w:color="auto"/>
              <w:bottom w:val="single" w:sz="8" w:space="0" w:color="auto"/>
              <w:right w:val="nil"/>
            </w:tcBorders>
            <w:shd w:val="clear" w:color="auto" w:fill="auto"/>
            <w:noWrap/>
            <w:vAlign w:val="bottom"/>
            <w:hideMark/>
          </w:tcPr>
          <w:p w14:paraId="00E9C3BF" w14:textId="77777777" w:rsidR="00EC5139" w:rsidRPr="00216C30" w:rsidRDefault="00EC5139" w:rsidP="00EC5139">
            <w:pPr>
              <w:jc w:val="left"/>
              <w:rPr>
                <w:rFonts w:ascii="Arial" w:hAnsi="Arial" w:cs="Arial"/>
                <w:b/>
                <w:bCs/>
                <w:color w:val="000000"/>
                <w:sz w:val="22"/>
                <w:szCs w:val="22"/>
              </w:rPr>
            </w:pPr>
            <w:r>
              <w:rPr>
                <w:rFonts w:ascii="Arial" w:hAnsi="Arial"/>
                <w:b/>
                <w:bCs/>
                <w:color w:val="000000"/>
                <w:sz w:val="22"/>
                <w:szCs w:val="22"/>
              </w:rPr>
              <w:t>Total</w:t>
            </w:r>
            <w:r>
              <w:rPr>
                <w:rFonts w:ascii="Arial" w:hAnsi="Arial"/>
                <w:b/>
                <w:bCs/>
                <w:color w:val="000000"/>
                <w:sz w:val="22"/>
                <w:szCs w:val="22"/>
                <w:vertAlign w:val="superscript"/>
              </w:rPr>
              <w:t>1</w:t>
            </w:r>
          </w:p>
        </w:tc>
        <w:tc>
          <w:tcPr>
            <w:tcW w:w="1954" w:type="dxa"/>
            <w:tcBorders>
              <w:top w:val="nil"/>
              <w:left w:val="nil"/>
              <w:bottom w:val="single" w:sz="8" w:space="0" w:color="auto"/>
              <w:right w:val="nil"/>
            </w:tcBorders>
            <w:shd w:val="clear" w:color="auto" w:fill="auto"/>
            <w:noWrap/>
            <w:vAlign w:val="bottom"/>
            <w:hideMark/>
          </w:tcPr>
          <w:p w14:paraId="23072D76" w14:textId="785FDF1C" w:rsidR="00EC5139" w:rsidRPr="00EC5139" w:rsidRDefault="00EC5139" w:rsidP="00EC5139">
            <w:pPr>
              <w:jc w:val="right"/>
              <w:rPr>
                <w:rFonts w:ascii="Arial" w:hAnsi="Arial" w:cs="Arial"/>
                <w:b/>
                <w:bCs/>
                <w:color w:val="000000"/>
                <w:sz w:val="22"/>
                <w:szCs w:val="22"/>
              </w:rPr>
            </w:pPr>
            <w:r>
              <w:rPr>
                <w:rFonts w:ascii="Arial" w:hAnsi="Arial"/>
                <w:b/>
                <w:bCs/>
                <w:color w:val="000000"/>
                <w:sz w:val="22"/>
                <w:szCs w:val="22"/>
              </w:rPr>
              <w:t xml:space="preserve">1 314 948 $ </w:t>
            </w:r>
          </w:p>
        </w:tc>
        <w:tc>
          <w:tcPr>
            <w:tcW w:w="1653" w:type="dxa"/>
            <w:tcBorders>
              <w:top w:val="nil"/>
              <w:left w:val="nil"/>
              <w:bottom w:val="single" w:sz="8" w:space="0" w:color="auto"/>
              <w:right w:val="single" w:sz="8" w:space="0" w:color="auto"/>
            </w:tcBorders>
            <w:shd w:val="clear" w:color="auto" w:fill="auto"/>
            <w:noWrap/>
            <w:vAlign w:val="bottom"/>
            <w:hideMark/>
          </w:tcPr>
          <w:p w14:paraId="6567CEC0" w14:textId="1F76AAEC" w:rsidR="00EC5139" w:rsidRPr="00EC5139" w:rsidRDefault="00EC5139" w:rsidP="00EC5139">
            <w:pPr>
              <w:jc w:val="right"/>
              <w:rPr>
                <w:rFonts w:ascii="Arial" w:hAnsi="Arial" w:cs="Arial"/>
                <w:b/>
                <w:bCs/>
                <w:color w:val="000000"/>
                <w:sz w:val="22"/>
                <w:szCs w:val="22"/>
              </w:rPr>
            </w:pPr>
            <w:r>
              <w:rPr>
                <w:rFonts w:ascii="Arial" w:hAnsi="Arial"/>
                <w:b/>
                <w:bCs/>
                <w:color w:val="000000"/>
                <w:sz w:val="22"/>
                <w:szCs w:val="22"/>
              </w:rPr>
              <w:t>100,0 %</w:t>
            </w:r>
          </w:p>
        </w:tc>
      </w:tr>
      <w:tr w:rsidR="00AE66C5" w:rsidRPr="00864AD4" w14:paraId="2383DA2F" w14:textId="77777777" w:rsidTr="00AE66C5">
        <w:trPr>
          <w:trHeight w:val="335"/>
        </w:trPr>
        <w:tc>
          <w:tcPr>
            <w:tcW w:w="5753" w:type="dxa"/>
            <w:gridSpan w:val="2"/>
            <w:tcBorders>
              <w:top w:val="nil"/>
              <w:left w:val="nil"/>
              <w:bottom w:val="nil"/>
              <w:right w:val="nil"/>
            </w:tcBorders>
            <w:shd w:val="clear" w:color="auto" w:fill="auto"/>
            <w:noWrap/>
            <w:vAlign w:val="bottom"/>
            <w:hideMark/>
          </w:tcPr>
          <w:p w14:paraId="1B34FAD6" w14:textId="77777777" w:rsidR="00AE66C5" w:rsidRPr="00216C30" w:rsidRDefault="00AE66C5" w:rsidP="00AE66C5">
            <w:pPr>
              <w:jc w:val="left"/>
              <w:rPr>
                <w:rFonts w:ascii="Arial" w:hAnsi="Arial" w:cs="Arial"/>
                <w:color w:val="000000"/>
                <w:sz w:val="22"/>
                <w:szCs w:val="22"/>
              </w:rPr>
            </w:pPr>
            <w:r>
              <w:rPr>
                <w:rFonts w:ascii="Arial" w:hAnsi="Arial"/>
                <w:color w:val="000000"/>
                <w:sz w:val="22"/>
                <w:szCs w:val="22"/>
              </w:rPr>
              <w:t>Remarque 1 : comme l’indique le rapport de la soumission réglementaire BH</w:t>
            </w:r>
          </w:p>
        </w:tc>
        <w:tc>
          <w:tcPr>
            <w:tcW w:w="1653" w:type="dxa"/>
            <w:tcBorders>
              <w:top w:val="nil"/>
              <w:left w:val="nil"/>
              <w:bottom w:val="nil"/>
              <w:right w:val="nil"/>
            </w:tcBorders>
            <w:shd w:val="clear" w:color="auto" w:fill="auto"/>
            <w:noWrap/>
            <w:vAlign w:val="bottom"/>
            <w:hideMark/>
          </w:tcPr>
          <w:p w14:paraId="5A87B6FC" w14:textId="77777777" w:rsidR="00AE66C5" w:rsidRPr="00780C43" w:rsidRDefault="00AE66C5" w:rsidP="00AE66C5">
            <w:pPr>
              <w:jc w:val="left"/>
              <w:rPr>
                <w:rFonts w:ascii="Arial" w:hAnsi="Arial" w:cs="Arial"/>
                <w:color w:val="000000"/>
                <w:sz w:val="22"/>
                <w:szCs w:val="22"/>
                <w:lang w:eastAsia="en-US"/>
              </w:rPr>
            </w:pPr>
          </w:p>
        </w:tc>
      </w:tr>
    </w:tbl>
    <w:p w14:paraId="1456017D" w14:textId="77777777" w:rsidR="00AC5F90" w:rsidRPr="00780C43" w:rsidRDefault="00AC5F90" w:rsidP="005C0068"/>
    <w:p w14:paraId="4283C5AB" w14:textId="77777777" w:rsidR="00052835" w:rsidRPr="00780C43" w:rsidRDefault="00052835" w:rsidP="005C0068"/>
    <w:p w14:paraId="5442FFDF" w14:textId="77777777" w:rsidR="00052835" w:rsidRPr="00780C43" w:rsidRDefault="00052835" w:rsidP="005C0068"/>
    <w:p w14:paraId="295EE42E" w14:textId="77777777" w:rsidR="00052835" w:rsidRPr="00780C43" w:rsidRDefault="00052835" w:rsidP="005C0068"/>
    <w:tbl>
      <w:tblPr>
        <w:tblW w:w="7500" w:type="dxa"/>
        <w:tblInd w:w="89" w:type="dxa"/>
        <w:tblLook w:val="04A0" w:firstRow="1" w:lastRow="0" w:firstColumn="1" w:lastColumn="0" w:noHBand="0" w:noVBand="1"/>
      </w:tblPr>
      <w:tblGrid>
        <w:gridCol w:w="3848"/>
        <w:gridCol w:w="1978"/>
        <w:gridCol w:w="1674"/>
      </w:tblGrid>
      <w:tr w:rsidR="00AE66C5" w:rsidRPr="00AE66C5" w14:paraId="298F1498" w14:textId="77777777" w:rsidTr="00AE66C5">
        <w:trPr>
          <w:trHeight w:val="691"/>
        </w:trPr>
        <w:tc>
          <w:tcPr>
            <w:tcW w:w="3848" w:type="dxa"/>
            <w:tcBorders>
              <w:top w:val="single" w:sz="8" w:space="0" w:color="auto"/>
              <w:left w:val="single" w:sz="8" w:space="0" w:color="auto"/>
              <w:bottom w:val="single" w:sz="4" w:space="0" w:color="auto"/>
              <w:right w:val="nil"/>
            </w:tcBorders>
            <w:shd w:val="clear" w:color="auto" w:fill="auto"/>
            <w:noWrap/>
            <w:vAlign w:val="bottom"/>
            <w:hideMark/>
          </w:tcPr>
          <w:p w14:paraId="38648E34" w14:textId="77777777" w:rsidR="00AE66C5" w:rsidRPr="00216C30" w:rsidRDefault="00AE66C5" w:rsidP="00AE66C5">
            <w:pPr>
              <w:jc w:val="left"/>
              <w:rPr>
                <w:rFonts w:ascii="Arial" w:hAnsi="Arial" w:cs="Arial"/>
                <w:b/>
                <w:bCs/>
                <w:color w:val="000000"/>
                <w:sz w:val="22"/>
                <w:szCs w:val="22"/>
              </w:rPr>
            </w:pPr>
            <w:r>
              <w:rPr>
                <w:rFonts w:ascii="Arial" w:hAnsi="Arial"/>
                <w:b/>
                <w:bCs/>
                <w:color w:val="000000"/>
                <w:sz w:val="22"/>
                <w:szCs w:val="22"/>
              </w:rPr>
              <w:t>Limites de crédit</w:t>
            </w:r>
          </w:p>
        </w:tc>
        <w:tc>
          <w:tcPr>
            <w:tcW w:w="1978" w:type="dxa"/>
            <w:tcBorders>
              <w:top w:val="single" w:sz="8" w:space="0" w:color="auto"/>
              <w:left w:val="nil"/>
              <w:bottom w:val="single" w:sz="4" w:space="0" w:color="auto"/>
              <w:right w:val="nil"/>
            </w:tcBorders>
            <w:shd w:val="clear" w:color="auto" w:fill="auto"/>
            <w:vAlign w:val="bottom"/>
            <w:hideMark/>
          </w:tcPr>
          <w:p w14:paraId="04B04466" w14:textId="77777777" w:rsidR="00AE66C5" w:rsidRPr="00216C30" w:rsidRDefault="00AE66C5" w:rsidP="00AE66C5">
            <w:pPr>
              <w:jc w:val="right"/>
              <w:rPr>
                <w:rFonts w:ascii="Arial" w:hAnsi="Arial" w:cs="Arial"/>
                <w:b/>
                <w:bCs/>
                <w:color w:val="000000"/>
                <w:sz w:val="22"/>
                <w:szCs w:val="22"/>
              </w:rPr>
            </w:pPr>
            <w:r>
              <w:rPr>
                <w:rFonts w:ascii="Arial" w:hAnsi="Arial"/>
                <w:b/>
                <w:bCs/>
                <w:color w:val="000000"/>
                <w:sz w:val="22"/>
                <w:szCs w:val="22"/>
              </w:rPr>
              <w:t>Créances impayées</w:t>
            </w:r>
          </w:p>
        </w:tc>
        <w:tc>
          <w:tcPr>
            <w:tcW w:w="1674" w:type="dxa"/>
            <w:tcBorders>
              <w:top w:val="single" w:sz="8" w:space="0" w:color="auto"/>
              <w:left w:val="nil"/>
              <w:bottom w:val="single" w:sz="4" w:space="0" w:color="auto"/>
              <w:right w:val="single" w:sz="8" w:space="0" w:color="auto"/>
            </w:tcBorders>
            <w:shd w:val="clear" w:color="auto" w:fill="auto"/>
            <w:vAlign w:val="bottom"/>
            <w:hideMark/>
          </w:tcPr>
          <w:p w14:paraId="793CB8EB" w14:textId="77777777" w:rsidR="00AE66C5" w:rsidRPr="00216C30" w:rsidRDefault="00AE66C5" w:rsidP="00AE66C5">
            <w:pPr>
              <w:jc w:val="right"/>
              <w:rPr>
                <w:rFonts w:ascii="Arial" w:hAnsi="Arial" w:cs="Arial"/>
                <w:b/>
                <w:bCs/>
                <w:color w:val="000000"/>
                <w:sz w:val="22"/>
                <w:szCs w:val="22"/>
              </w:rPr>
            </w:pPr>
            <w:r>
              <w:rPr>
                <w:rFonts w:ascii="Arial" w:hAnsi="Arial"/>
                <w:b/>
                <w:bCs/>
                <w:color w:val="000000"/>
                <w:sz w:val="22"/>
                <w:szCs w:val="22"/>
              </w:rPr>
              <w:t>% des créances</w:t>
            </w:r>
          </w:p>
        </w:tc>
      </w:tr>
      <w:tr w:rsidR="00EC5139" w:rsidRPr="00AE66C5" w14:paraId="63FAE8A7" w14:textId="77777777" w:rsidTr="00AE66C5">
        <w:trPr>
          <w:trHeight w:val="336"/>
        </w:trPr>
        <w:tc>
          <w:tcPr>
            <w:tcW w:w="3848" w:type="dxa"/>
            <w:tcBorders>
              <w:top w:val="nil"/>
              <w:left w:val="single" w:sz="8" w:space="0" w:color="auto"/>
              <w:bottom w:val="nil"/>
              <w:right w:val="nil"/>
            </w:tcBorders>
            <w:shd w:val="clear" w:color="auto" w:fill="auto"/>
            <w:noWrap/>
            <w:vAlign w:val="bottom"/>
            <w:hideMark/>
          </w:tcPr>
          <w:p w14:paraId="7115E38E"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Moins que ou égal à 500,00 $</w:t>
            </w:r>
          </w:p>
        </w:tc>
        <w:tc>
          <w:tcPr>
            <w:tcW w:w="1978" w:type="dxa"/>
            <w:tcBorders>
              <w:top w:val="nil"/>
              <w:left w:val="nil"/>
              <w:bottom w:val="nil"/>
              <w:right w:val="nil"/>
            </w:tcBorders>
            <w:shd w:val="clear" w:color="auto" w:fill="auto"/>
            <w:noWrap/>
            <w:vAlign w:val="bottom"/>
            <w:hideMark/>
          </w:tcPr>
          <w:p w14:paraId="6FC7C4B4" w14:textId="10FF2E7C" w:rsidR="00EC5139" w:rsidRPr="00EC5139" w:rsidRDefault="00EC5139" w:rsidP="00EC5139">
            <w:pPr>
              <w:jc w:val="right"/>
              <w:rPr>
                <w:rFonts w:ascii="Arial" w:hAnsi="Arial" w:cs="Arial"/>
                <w:color w:val="000000"/>
                <w:sz w:val="22"/>
              </w:rPr>
            </w:pPr>
            <w:r>
              <w:rPr>
                <w:rFonts w:ascii="Arial" w:hAnsi="Arial"/>
                <w:color w:val="000000"/>
                <w:sz w:val="22"/>
                <w:szCs w:val="22"/>
              </w:rPr>
              <w:t xml:space="preserve">2 040 $ </w:t>
            </w:r>
          </w:p>
        </w:tc>
        <w:tc>
          <w:tcPr>
            <w:tcW w:w="1674" w:type="dxa"/>
            <w:tcBorders>
              <w:top w:val="nil"/>
              <w:left w:val="nil"/>
              <w:bottom w:val="nil"/>
              <w:right w:val="single" w:sz="8" w:space="0" w:color="auto"/>
            </w:tcBorders>
            <w:shd w:val="clear" w:color="auto" w:fill="auto"/>
            <w:noWrap/>
            <w:vAlign w:val="bottom"/>
            <w:hideMark/>
          </w:tcPr>
          <w:p w14:paraId="5DD232FC" w14:textId="28A70186" w:rsidR="00EC5139" w:rsidRPr="00EC5139" w:rsidRDefault="00EC5139" w:rsidP="00EC5139">
            <w:pPr>
              <w:jc w:val="right"/>
              <w:rPr>
                <w:rFonts w:ascii="Arial" w:hAnsi="Arial" w:cs="Arial"/>
                <w:color w:val="000000"/>
                <w:sz w:val="22"/>
                <w:szCs w:val="22"/>
              </w:rPr>
            </w:pPr>
            <w:r>
              <w:rPr>
                <w:rFonts w:ascii="Arial" w:hAnsi="Arial"/>
                <w:color w:val="000000"/>
                <w:sz w:val="22"/>
                <w:szCs w:val="22"/>
              </w:rPr>
              <w:t>0,2 %</w:t>
            </w:r>
          </w:p>
        </w:tc>
      </w:tr>
      <w:tr w:rsidR="00EC5139" w:rsidRPr="00AE66C5" w14:paraId="0B1F735C" w14:textId="77777777" w:rsidTr="00AE66C5">
        <w:trPr>
          <w:trHeight w:val="336"/>
        </w:trPr>
        <w:tc>
          <w:tcPr>
            <w:tcW w:w="3848" w:type="dxa"/>
            <w:tcBorders>
              <w:top w:val="nil"/>
              <w:left w:val="single" w:sz="8" w:space="0" w:color="auto"/>
              <w:bottom w:val="nil"/>
              <w:right w:val="nil"/>
            </w:tcBorders>
            <w:shd w:val="clear" w:color="auto" w:fill="auto"/>
            <w:noWrap/>
            <w:vAlign w:val="bottom"/>
            <w:hideMark/>
          </w:tcPr>
          <w:p w14:paraId="2BBC3938"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500,01 $ - 1 000,00 $</w:t>
            </w:r>
          </w:p>
        </w:tc>
        <w:tc>
          <w:tcPr>
            <w:tcW w:w="1978" w:type="dxa"/>
            <w:tcBorders>
              <w:top w:val="nil"/>
              <w:left w:val="nil"/>
              <w:bottom w:val="nil"/>
              <w:right w:val="nil"/>
            </w:tcBorders>
            <w:shd w:val="clear" w:color="auto" w:fill="auto"/>
            <w:noWrap/>
            <w:vAlign w:val="bottom"/>
            <w:hideMark/>
          </w:tcPr>
          <w:p w14:paraId="6EEBD80E" w14:textId="29F2272E"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44 425 $ </w:t>
            </w:r>
          </w:p>
        </w:tc>
        <w:tc>
          <w:tcPr>
            <w:tcW w:w="1674" w:type="dxa"/>
            <w:tcBorders>
              <w:top w:val="nil"/>
              <w:left w:val="nil"/>
              <w:bottom w:val="nil"/>
              <w:right w:val="single" w:sz="8" w:space="0" w:color="auto"/>
            </w:tcBorders>
            <w:shd w:val="clear" w:color="auto" w:fill="auto"/>
            <w:noWrap/>
            <w:vAlign w:val="bottom"/>
            <w:hideMark/>
          </w:tcPr>
          <w:p w14:paraId="68CC928F" w14:textId="49D5DDB6" w:rsidR="00EC5139" w:rsidRPr="00EC5139" w:rsidRDefault="00EC5139" w:rsidP="00EC5139">
            <w:pPr>
              <w:jc w:val="right"/>
              <w:rPr>
                <w:rFonts w:ascii="Arial" w:hAnsi="Arial" w:cs="Arial"/>
                <w:color w:val="000000"/>
                <w:sz w:val="22"/>
                <w:szCs w:val="22"/>
              </w:rPr>
            </w:pPr>
            <w:r>
              <w:rPr>
                <w:rFonts w:ascii="Arial" w:hAnsi="Arial"/>
                <w:color w:val="000000"/>
                <w:sz w:val="22"/>
                <w:szCs w:val="22"/>
              </w:rPr>
              <w:t>3,4 %</w:t>
            </w:r>
          </w:p>
        </w:tc>
      </w:tr>
      <w:tr w:rsidR="00EC5139" w:rsidRPr="00AE66C5" w14:paraId="76873FEB" w14:textId="77777777" w:rsidTr="00AE66C5">
        <w:trPr>
          <w:trHeight w:val="336"/>
        </w:trPr>
        <w:tc>
          <w:tcPr>
            <w:tcW w:w="3848" w:type="dxa"/>
            <w:tcBorders>
              <w:top w:val="nil"/>
              <w:left w:val="single" w:sz="8" w:space="0" w:color="auto"/>
              <w:bottom w:val="nil"/>
              <w:right w:val="nil"/>
            </w:tcBorders>
            <w:shd w:val="clear" w:color="auto" w:fill="auto"/>
            <w:noWrap/>
            <w:vAlign w:val="bottom"/>
            <w:hideMark/>
          </w:tcPr>
          <w:p w14:paraId="50994A1E"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1 000,01 $ - 3 000,00 $</w:t>
            </w:r>
          </w:p>
        </w:tc>
        <w:tc>
          <w:tcPr>
            <w:tcW w:w="1978" w:type="dxa"/>
            <w:tcBorders>
              <w:top w:val="nil"/>
              <w:left w:val="nil"/>
              <w:bottom w:val="nil"/>
              <w:right w:val="nil"/>
            </w:tcBorders>
            <w:shd w:val="clear" w:color="auto" w:fill="auto"/>
            <w:noWrap/>
            <w:vAlign w:val="bottom"/>
            <w:hideMark/>
          </w:tcPr>
          <w:p w14:paraId="23BD357F" w14:textId="2CA76C54"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143 909 $ </w:t>
            </w:r>
          </w:p>
        </w:tc>
        <w:tc>
          <w:tcPr>
            <w:tcW w:w="1674" w:type="dxa"/>
            <w:tcBorders>
              <w:top w:val="nil"/>
              <w:left w:val="nil"/>
              <w:bottom w:val="nil"/>
              <w:right w:val="single" w:sz="8" w:space="0" w:color="auto"/>
            </w:tcBorders>
            <w:shd w:val="clear" w:color="auto" w:fill="auto"/>
            <w:noWrap/>
            <w:vAlign w:val="bottom"/>
            <w:hideMark/>
          </w:tcPr>
          <w:p w14:paraId="2CB9FF63" w14:textId="2DF3AADC" w:rsidR="00EC5139" w:rsidRPr="00EC5139" w:rsidRDefault="00EC5139" w:rsidP="00EC5139">
            <w:pPr>
              <w:jc w:val="right"/>
              <w:rPr>
                <w:rFonts w:ascii="Arial" w:hAnsi="Arial" w:cs="Arial"/>
                <w:color w:val="000000"/>
                <w:sz w:val="22"/>
                <w:szCs w:val="22"/>
              </w:rPr>
            </w:pPr>
            <w:r>
              <w:rPr>
                <w:rFonts w:ascii="Arial" w:hAnsi="Arial"/>
                <w:color w:val="000000"/>
                <w:sz w:val="22"/>
                <w:szCs w:val="22"/>
              </w:rPr>
              <w:t>10,9 %</w:t>
            </w:r>
          </w:p>
        </w:tc>
      </w:tr>
      <w:tr w:rsidR="00EC5139" w:rsidRPr="00AE66C5" w14:paraId="3E189DAC" w14:textId="77777777" w:rsidTr="00AE66C5">
        <w:trPr>
          <w:trHeight w:val="336"/>
        </w:trPr>
        <w:tc>
          <w:tcPr>
            <w:tcW w:w="3848" w:type="dxa"/>
            <w:tcBorders>
              <w:top w:val="nil"/>
              <w:left w:val="single" w:sz="8" w:space="0" w:color="auto"/>
              <w:bottom w:val="nil"/>
              <w:right w:val="nil"/>
            </w:tcBorders>
            <w:shd w:val="clear" w:color="auto" w:fill="auto"/>
            <w:noWrap/>
            <w:vAlign w:val="bottom"/>
            <w:hideMark/>
          </w:tcPr>
          <w:p w14:paraId="3DAC1B19"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3 000,01 $ - 5 000,00 $</w:t>
            </w:r>
          </w:p>
        </w:tc>
        <w:tc>
          <w:tcPr>
            <w:tcW w:w="1978" w:type="dxa"/>
            <w:tcBorders>
              <w:top w:val="nil"/>
              <w:left w:val="nil"/>
              <w:bottom w:val="nil"/>
              <w:right w:val="nil"/>
            </w:tcBorders>
            <w:shd w:val="clear" w:color="auto" w:fill="auto"/>
            <w:noWrap/>
            <w:vAlign w:val="bottom"/>
            <w:hideMark/>
          </w:tcPr>
          <w:p w14:paraId="0E986A52" w14:textId="77EE7350"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236 047 $ </w:t>
            </w:r>
          </w:p>
        </w:tc>
        <w:tc>
          <w:tcPr>
            <w:tcW w:w="1674" w:type="dxa"/>
            <w:tcBorders>
              <w:top w:val="nil"/>
              <w:left w:val="nil"/>
              <w:bottom w:val="nil"/>
              <w:right w:val="single" w:sz="8" w:space="0" w:color="auto"/>
            </w:tcBorders>
            <w:shd w:val="clear" w:color="auto" w:fill="auto"/>
            <w:noWrap/>
            <w:vAlign w:val="bottom"/>
            <w:hideMark/>
          </w:tcPr>
          <w:p w14:paraId="08339646" w14:textId="11CAC983" w:rsidR="00EC5139" w:rsidRPr="00EC5139" w:rsidRDefault="00EC5139" w:rsidP="00EC5139">
            <w:pPr>
              <w:jc w:val="right"/>
              <w:rPr>
                <w:rFonts w:ascii="Arial" w:hAnsi="Arial" w:cs="Arial"/>
                <w:color w:val="000000"/>
                <w:sz w:val="22"/>
                <w:szCs w:val="22"/>
              </w:rPr>
            </w:pPr>
            <w:r>
              <w:rPr>
                <w:rFonts w:ascii="Arial" w:hAnsi="Arial"/>
                <w:color w:val="000000"/>
                <w:sz w:val="22"/>
                <w:szCs w:val="22"/>
              </w:rPr>
              <w:t>18,0 %</w:t>
            </w:r>
          </w:p>
        </w:tc>
      </w:tr>
      <w:tr w:rsidR="00EC5139" w:rsidRPr="00AE66C5" w14:paraId="5D58F33C" w14:textId="77777777" w:rsidTr="00AE66C5">
        <w:trPr>
          <w:trHeight w:val="336"/>
        </w:trPr>
        <w:tc>
          <w:tcPr>
            <w:tcW w:w="3848" w:type="dxa"/>
            <w:tcBorders>
              <w:top w:val="nil"/>
              <w:left w:val="single" w:sz="8" w:space="0" w:color="auto"/>
              <w:bottom w:val="nil"/>
              <w:right w:val="nil"/>
            </w:tcBorders>
            <w:shd w:val="clear" w:color="auto" w:fill="auto"/>
            <w:noWrap/>
            <w:vAlign w:val="bottom"/>
            <w:hideMark/>
          </w:tcPr>
          <w:p w14:paraId="5165A9B3"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5 000,01 $ - 10 000,00 $</w:t>
            </w:r>
          </w:p>
        </w:tc>
        <w:tc>
          <w:tcPr>
            <w:tcW w:w="1978" w:type="dxa"/>
            <w:tcBorders>
              <w:top w:val="nil"/>
              <w:left w:val="nil"/>
              <w:bottom w:val="nil"/>
              <w:right w:val="nil"/>
            </w:tcBorders>
            <w:shd w:val="clear" w:color="auto" w:fill="auto"/>
            <w:noWrap/>
            <w:vAlign w:val="bottom"/>
            <w:hideMark/>
          </w:tcPr>
          <w:p w14:paraId="442C062D" w14:textId="2BA16D66"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467 675 $ </w:t>
            </w:r>
          </w:p>
        </w:tc>
        <w:tc>
          <w:tcPr>
            <w:tcW w:w="1674" w:type="dxa"/>
            <w:tcBorders>
              <w:top w:val="nil"/>
              <w:left w:val="nil"/>
              <w:bottom w:val="nil"/>
              <w:right w:val="single" w:sz="8" w:space="0" w:color="auto"/>
            </w:tcBorders>
            <w:shd w:val="clear" w:color="auto" w:fill="auto"/>
            <w:noWrap/>
            <w:vAlign w:val="bottom"/>
            <w:hideMark/>
          </w:tcPr>
          <w:p w14:paraId="67F5D77E" w14:textId="6AEEAE7B" w:rsidR="00EC5139" w:rsidRPr="00EC5139" w:rsidRDefault="00EC5139" w:rsidP="00EC5139">
            <w:pPr>
              <w:jc w:val="right"/>
              <w:rPr>
                <w:rFonts w:ascii="Arial" w:hAnsi="Arial" w:cs="Arial"/>
                <w:color w:val="000000"/>
                <w:sz w:val="22"/>
                <w:szCs w:val="22"/>
              </w:rPr>
            </w:pPr>
            <w:r>
              <w:rPr>
                <w:rFonts w:ascii="Arial" w:hAnsi="Arial"/>
                <w:color w:val="000000"/>
                <w:sz w:val="22"/>
                <w:szCs w:val="22"/>
              </w:rPr>
              <w:t>35,6 %</w:t>
            </w:r>
          </w:p>
        </w:tc>
      </w:tr>
      <w:tr w:rsidR="00EC5139" w:rsidRPr="00AE66C5" w14:paraId="52560EFB" w14:textId="77777777" w:rsidTr="00AE66C5">
        <w:trPr>
          <w:trHeight w:val="336"/>
        </w:trPr>
        <w:tc>
          <w:tcPr>
            <w:tcW w:w="3848" w:type="dxa"/>
            <w:tcBorders>
              <w:top w:val="nil"/>
              <w:left w:val="single" w:sz="8" w:space="0" w:color="auto"/>
              <w:bottom w:val="single" w:sz="4" w:space="0" w:color="auto"/>
              <w:right w:val="nil"/>
            </w:tcBorders>
            <w:shd w:val="clear" w:color="auto" w:fill="auto"/>
            <w:noWrap/>
            <w:vAlign w:val="bottom"/>
            <w:hideMark/>
          </w:tcPr>
          <w:p w14:paraId="3878254E"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Supérieur à 10 000,00 $</w:t>
            </w:r>
          </w:p>
        </w:tc>
        <w:tc>
          <w:tcPr>
            <w:tcW w:w="1978" w:type="dxa"/>
            <w:tcBorders>
              <w:top w:val="nil"/>
              <w:left w:val="nil"/>
              <w:bottom w:val="single" w:sz="4" w:space="0" w:color="auto"/>
              <w:right w:val="nil"/>
            </w:tcBorders>
            <w:shd w:val="clear" w:color="auto" w:fill="auto"/>
            <w:noWrap/>
            <w:vAlign w:val="bottom"/>
            <w:hideMark/>
          </w:tcPr>
          <w:p w14:paraId="743BF960" w14:textId="61A88903"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420 852 $ </w:t>
            </w:r>
          </w:p>
        </w:tc>
        <w:tc>
          <w:tcPr>
            <w:tcW w:w="1674" w:type="dxa"/>
            <w:tcBorders>
              <w:top w:val="nil"/>
              <w:left w:val="nil"/>
              <w:bottom w:val="single" w:sz="4" w:space="0" w:color="auto"/>
              <w:right w:val="single" w:sz="8" w:space="0" w:color="auto"/>
            </w:tcBorders>
            <w:shd w:val="clear" w:color="auto" w:fill="auto"/>
            <w:noWrap/>
            <w:vAlign w:val="bottom"/>
            <w:hideMark/>
          </w:tcPr>
          <w:p w14:paraId="3BDAC220" w14:textId="199D1A53" w:rsidR="00EC5139" w:rsidRPr="00EC5139" w:rsidRDefault="00EC5139" w:rsidP="00EC5139">
            <w:pPr>
              <w:jc w:val="right"/>
              <w:rPr>
                <w:rFonts w:ascii="Arial" w:hAnsi="Arial" w:cs="Arial"/>
                <w:color w:val="000000"/>
                <w:sz w:val="22"/>
                <w:szCs w:val="22"/>
              </w:rPr>
            </w:pPr>
            <w:r>
              <w:rPr>
                <w:rFonts w:ascii="Arial" w:hAnsi="Arial"/>
                <w:color w:val="000000"/>
                <w:sz w:val="22"/>
                <w:szCs w:val="22"/>
              </w:rPr>
              <w:t>32,0 %</w:t>
            </w:r>
          </w:p>
        </w:tc>
      </w:tr>
      <w:tr w:rsidR="00EC5139" w:rsidRPr="00AE66C5" w14:paraId="1F73CAAC" w14:textId="77777777" w:rsidTr="00AE66C5">
        <w:trPr>
          <w:trHeight w:val="404"/>
        </w:trPr>
        <w:tc>
          <w:tcPr>
            <w:tcW w:w="3848" w:type="dxa"/>
            <w:tcBorders>
              <w:top w:val="nil"/>
              <w:left w:val="single" w:sz="8" w:space="0" w:color="auto"/>
              <w:bottom w:val="single" w:sz="8" w:space="0" w:color="auto"/>
              <w:right w:val="nil"/>
            </w:tcBorders>
            <w:shd w:val="clear" w:color="auto" w:fill="auto"/>
            <w:noWrap/>
            <w:vAlign w:val="bottom"/>
            <w:hideMark/>
          </w:tcPr>
          <w:p w14:paraId="4A89865B" w14:textId="77777777" w:rsidR="00EC5139" w:rsidRPr="00216C30" w:rsidRDefault="00EC5139" w:rsidP="00EC5139">
            <w:pPr>
              <w:jc w:val="left"/>
              <w:rPr>
                <w:rFonts w:ascii="Arial" w:hAnsi="Arial" w:cs="Arial"/>
                <w:b/>
                <w:bCs/>
                <w:color w:val="000000"/>
                <w:sz w:val="22"/>
                <w:szCs w:val="22"/>
              </w:rPr>
            </w:pPr>
            <w:r>
              <w:rPr>
                <w:rFonts w:ascii="Arial" w:hAnsi="Arial"/>
                <w:b/>
                <w:bCs/>
                <w:color w:val="000000"/>
                <w:sz w:val="22"/>
                <w:szCs w:val="22"/>
              </w:rPr>
              <w:t>Total</w:t>
            </w:r>
            <w:r>
              <w:rPr>
                <w:rFonts w:ascii="Arial" w:hAnsi="Arial"/>
                <w:b/>
                <w:bCs/>
                <w:color w:val="000000"/>
                <w:sz w:val="22"/>
                <w:szCs w:val="22"/>
                <w:vertAlign w:val="superscript"/>
              </w:rPr>
              <w:t>1</w:t>
            </w:r>
          </w:p>
        </w:tc>
        <w:tc>
          <w:tcPr>
            <w:tcW w:w="1978" w:type="dxa"/>
            <w:tcBorders>
              <w:top w:val="nil"/>
              <w:left w:val="nil"/>
              <w:bottom w:val="single" w:sz="8" w:space="0" w:color="auto"/>
              <w:right w:val="nil"/>
            </w:tcBorders>
            <w:shd w:val="clear" w:color="auto" w:fill="auto"/>
            <w:noWrap/>
            <w:vAlign w:val="bottom"/>
            <w:hideMark/>
          </w:tcPr>
          <w:p w14:paraId="18F41C5D" w14:textId="3B079AA6" w:rsidR="00EC5139" w:rsidRPr="00EC5139" w:rsidRDefault="00EC5139" w:rsidP="00EC5139">
            <w:pPr>
              <w:jc w:val="right"/>
              <w:rPr>
                <w:rFonts w:ascii="Arial" w:hAnsi="Arial" w:cs="Arial"/>
                <w:b/>
                <w:color w:val="000000"/>
                <w:sz w:val="22"/>
              </w:rPr>
            </w:pPr>
            <w:r>
              <w:rPr>
                <w:rFonts w:ascii="Arial" w:hAnsi="Arial"/>
                <w:b/>
                <w:bCs/>
                <w:color w:val="000000"/>
                <w:sz w:val="22"/>
                <w:szCs w:val="22"/>
              </w:rPr>
              <w:t xml:space="preserve">1 314 948 $ </w:t>
            </w:r>
          </w:p>
        </w:tc>
        <w:tc>
          <w:tcPr>
            <w:tcW w:w="1674" w:type="dxa"/>
            <w:tcBorders>
              <w:top w:val="nil"/>
              <w:left w:val="nil"/>
              <w:bottom w:val="single" w:sz="8" w:space="0" w:color="auto"/>
              <w:right w:val="single" w:sz="8" w:space="0" w:color="auto"/>
            </w:tcBorders>
            <w:shd w:val="clear" w:color="auto" w:fill="auto"/>
            <w:noWrap/>
            <w:vAlign w:val="bottom"/>
            <w:hideMark/>
          </w:tcPr>
          <w:p w14:paraId="67F0E450" w14:textId="0961929B" w:rsidR="00EC5139" w:rsidRPr="00EC5139" w:rsidRDefault="00EC5139" w:rsidP="00EC5139">
            <w:pPr>
              <w:jc w:val="right"/>
              <w:rPr>
                <w:rFonts w:ascii="Arial" w:hAnsi="Arial" w:cs="Arial"/>
                <w:b/>
                <w:bCs/>
                <w:color w:val="000000"/>
                <w:sz w:val="22"/>
                <w:szCs w:val="22"/>
              </w:rPr>
            </w:pPr>
            <w:r>
              <w:rPr>
                <w:rFonts w:ascii="Arial" w:hAnsi="Arial"/>
                <w:b/>
                <w:bCs/>
                <w:color w:val="000000"/>
                <w:sz w:val="22"/>
                <w:szCs w:val="22"/>
              </w:rPr>
              <w:t>100,0 %</w:t>
            </w:r>
          </w:p>
        </w:tc>
      </w:tr>
      <w:tr w:rsidR="00AE66C5" w:rsidRPr="00AE66C5" w14:paraId="77BDE015" w14:textId="77777777" w:rsidTr="00AE66C5">
        <w:trPr>
          <w:trHeight w:val="336"/>
        </w:trPr>
        <w:tc>
          <w:tcPr>
            <w:tcW w:w="5826" w:type="dxa"/>
            <w:gridSpan w:val="2"/>
            <w:tcBorders>
              <w:top w:val="nil"/>
              <w:left w:val="nil"/>
              <w:bottom w:val="nil"/>
              <w:right w:val="nil"/>
            </w:tcBorders>
            <w:shd w:val="clear" w:color="auto" w:fill="auto"/>
            <w:noWrap/>
            <w:vAlign w:val="bottom"/>
            <w:hideMark/>
          </w:tcPr>
          <w:p w14:paraId="3832FAC2" w14:textId="77777777" w:rsidR="00AE66C5" w:rsidRPr="00216C30" w:rsidRDefault="00AE66C5" w:rsidP="00AE66C5">
            <w:pPr>
              <w:jc w:val="left"/>
              <w:rPr>
                <w:rFonts w:ascii="Arial" w:hAnsi="Arial" w:cs="Arial"/>
                <w:color w:val="000000"/>
                <w:sz w:val="22"/>
                <w:szCs w:val="22"/>
              </w:rPr>
            </w:pPr>
            <w:r>
              <w:rPr>
                <w:rFonts w:ascii="Arial" w:hAnsi="Arial"/>
                <w:color w:val="000000"/>
                <w:sz w:val="22"/>
                <w:szCs w:val="22"/>
              </w:rPr>
              <w:t>Remarque 1 : comme l’indique le rapport de la soumission réglementaire BH</w:t>
            </w:r>
          </w:p>
        </w:tc>
        <w:tc>
          <w:tcPr>
            <w:tcW w:w="1674" w:type="dxa"/>
            <w:tcBorders>
              <w:top w:val="nil"/>
              <w:left w:val="nil"/>
              <w:bottom w:val="nil"/>
              <w:right w:val="nil"/>
            </w:tcBorders>
            <w:shd w:val="clear" w:color="auto" w:fill="auto"/>
            <w:noWrap/>
            <w:vAlign w:val="bottom"/>
            <w:hideMark/>
          </w:tcPr>
          <w:p w14:paraId="16CAA8E4" w14:textId="77777777" w:rsidR="00AE66C5" w:rsidRPr="00780C43" w:rsidRDefault="00AE66C5" w:rsidP="00AE66C5">
            <w:pPr>
              <w:jc w:val="left"/>
              <w:rPr>
                <w:rFonts w:ascii="Arial" w:hAnsi="Arial" w:cs="Arial"/>
                <w:color w:val="000000"/>
                <w:sz w:val="22"/>
                <w:szCs w:val="22"/>
                <w:lang w:eastAsia="en-US"/>
              </w:rPr>
            </w:pPr>
          </w:p>
        </w:tc>
      </w:tr>
    </w:tbl>
    <w:p w14:paraId="4A4A7ABE" w14:textId="77777777" w:rsidR="00AC5F90" w:rsidRPr="00780C43" w:rsidRDefault="00AC5F90" w:rsidP="005C0068"/>
    <w:p w14:paraId="2653A145" w14:textId="77777777" w:rsidR="00AC5F90" w:rsidRPr="00780C43" w:rsidRDefault="00AC5F90" w:rsidP="005C0068"/>
    <w:p w14:paraId="715E8A29" w14:textId="77777777" w:rsidR="00AE66C5" w:rsidRPr="00780C43" w:rsidRDefault="00AE66C5" w:rsidP="005C0068"/>
    <w:p w14:paraId="52E74CA4" w14:textId="77777777" w:rsidR="00AC5F90" w:rsidRPr="00780C43" w:rsidRDefault="00AC5F90" w:rsidP="005C0068"/>
    <w:p w14:paraId="0E741243" w14:textId="77777777" w:rsidR="00AC5F90" w:rsidRPr="00780C43" w:rsidRDefault="00AC5F90" w:rsidP="005C0068"/>
    <w:p w14:paraId="15ED5049" w14:textId="77777777" w:rsidR="008608BA" w:rsidRPr="00780C43" w:rsidRDefault="008608BA" w:rsidP="005C0068"/>
    <w:p w14:paraId="4C2DBFFC" w14:textId="77777777" w:rsidR="00AC5F90" w:rsidRPr="00780C43" w:rsidRDefault="00AC5F90" w:rsidP="005C0068"/>
    <w:p w14:paraId="122AFA9F" w14:textId="77777777" w:rsidR="00813F71" w:rsidRPr="00780C43" w:rsidRDefault="00813F71" w:rsidP="00631FE2"/>
    <w:tbl>
      <w:tblPr>
        <w:tblW w:w="6555" w:type="dxa"/>
        <w:tblInd w:w="89" w:type="dxa"/>
        <w:tblLook w:val="04A0" w:firstRow="1" w:lastRow="0" w:firstColumn="1" w:lastColumn="0" w:noHBand="0" w:noVBand="1"/>
      </w:tblPr>
      <w:tblGrid>
        <w:gridCol w:w="3165"/>
        <w:gridCol w:w="1796"/>
        <w:gridCol w:w="1594"/>
      </w:tblGrid>
      <w:tr w:rsidR="00813F71" w:rsidRPr="00864AD4" w14:paraId="4A16AD1C" w14:textId="77777777" w:rsidTr="00813F71">
        <w:trPr>
          <w:trHeight w:val="703"/>
        </w:trPr>
        <w:tc>
          <w:tcPr>
            <w:tcW w:w="3165" w:type="dxa"/>
            <w:tcBorders>
              <w:top w:val="single" w:sz="8" w:space="0" w:color="auto"/>
              <w:left w:val="single" w:sz="8" w:space="0" w:color="auto"/>
              <w:bottom w:val="single" w:sz="4" w:space="0" w:color="auto"/>
              <w:right w:val="nil"/>
            </w:tcBorders>
            <w:shd w:val="clear" w:color="auto" w:fill="auto"/>
            <w:noWrap/>
            <w:vAlign w:val="bottom"/>
            <w:hideMark/>
          </w:tcPr>
          <w:p w14:paraId="15DD5199" w14:textId="77777777" w:rsidR="00813F71" w:rsidRPr="00216C30" w:rsidRDefault="00813F71" w:rsidP="00813F71">
            <w:pPr>
              <w:jc w:val="left"/>
              <w:rPr>
                <w:rFonts w:ascii="Arial" w:hAnsi="Arial" w:cs="Arial"/>
                <w:b/>
                <w:bCs/>
                <w:color w:val="000000"/>
                <w:sz w:val="22"/>
                <w:szCs w:val="22"/>
              </w:rPr>
            </w:pPr>
            <w:r>
              <w:rPr>
                <w:rFonts w:ascii="Arial" w:hAnsi="Arial"/>
                <w:b/>
                <w:bCs/>
                <w:color w:val="000000"/>
                <w:sz w:val="22"/>
                <w:szCs w:val="22"/>
              </w:rPr>
              <w:t>Jours de retard</w:t>
            </w:r>
          </w:p>
        </w:tc>
        <w:tc>
          <w:tcPr>
            <w:tcW w:w="1796" w:type="dxa"/>
            <w:tcBorders>
              <w:top w:val="single" w:sz="8" w:space="0" w:color="auto"/>
              <w:left w:val="nil"/>
              <w:bottom w:val="single" w:sz="4" w:space="0" w:color="auto"/>
              <w:right w:val="nil"/>
            </w:tcBorders>
            <w:shd w:val="clear" w:color="auto" w:fill="auto"/>
            <w:vAlign w:val="bottom"/>
            <w:hideMark/>
          </w:tcPr>
          <w:p w14:paraId="66901805" w14:textId="77777777" w:rsidR="00813F71" w:rsidRPr="00216C30" w:rsidRDefault="00813F71" w:rsidP="00813F71">
            <w:pPr>
              <w:jc w:val="right"/>
              <w:rPr>
                <w:rFonts w:ascii="Arial" w:hAnsi="Arial" w:cs="Arial"/>
                <w:b/>
                <w:bCs/>
                <w:color w:val="000000"/>
                <w:sz w:val="22"/>
                <w:szCs w:val="22"/>
              </w:rPr>
            </w:pPr>
            <w:r>
              <w:rPr>
                <w:rFonts w:ascii="Arial" w:hAnsi="Arial"/>
                <w:b/>
                <w:bCs/>
                <w:color w:val="000000"/>
                <w:sz w:val="22"/>
                <w:szCs w:val="22"/>
              </w:rPr>
              <w:t>Créances impayées</w:t>
            </w:r>
          </w:p>
        </w:tc>
        <w:tc>
          <w:tcPr>
            <w:tcW w:w="1594" w:type="dxa"/>
            <w:tcBorders>
              <w:top w:val="single" w:sz="8" w:space="0" w:color="auto"/>
              <w:left w:val="nil"/>
              <w:bottom w:val="single" w:sz="4" w:space="0" w:color="auto"/>
              <w:right w:val="single" w:sz="8" w:space="0" w:color="auto"/>
            </w:tcBorders>
            <w:shd w:val="clear" w:color="auto" w:fill="auto"/>
            <w:vAlign w:val="bottom"/>
            <w:hideMark/>
          </w:tcPr>
          <w:p w14:paraId="40F675EC" w14:textId="77777777" w:rsidR="00813F71" w:rsidRPr="00216C30" w:rsidRDefault="00813F71" w:rsidP="00813F71">
            <w:pPr>
              <w:jc w:val="right"/>
              <w:rPr>
                <w:rFonts w:ascii="Arial" w:hAnsi="Arial" w:cs="Arial"/>
                <w:b/>
                <w:bCs/>
                <w:color w:val="000000"/>
                <w:sz w:val="22"/>
                <w:szCs w:val="22"/>
              </w:rPr>
            </w:pPr>
            <w:r>
              <w:rPr>
                <w:rFonts w:ascii="Arial" w:hAnsi="Arial"/>
                <w:b/>
                <w:bCs/>
                <w:color w:val="000000"/>
                <w:sz w:val="22"/>
                <w:szCs w:val="22"/>
              </w:rPr>
              <w:t>% des créances</w:t>
            </w:r>
          </w:p>
        </w:tc>
      </w:tr>
      <w:tr w:rsidR="00EC5139" w:rsidRPr="00864AD4" w14:paraId="6EE36C53" w14:textId="77777777" w:rsidTr="00813F71">
        <w:trPr>
          <w:trHeight w:val="404"/>
        </w:trPr>
        <w:tc>
          <w:tcPr>
            <w:tcW w:w="3165" w:type="dxa"/>
            <w:tcBorders>
              <w:top w:val="nil"/>
              <w:left w:val="single" w:sz="8" w:space="0" w:color="auto"/>
              <w:bottom w:val="nil"/>
              <w:right w:val="nil"/>
            </w:tcBorders>
            <w:shd w:val="clear" w:color="auto" w:fill="auto"/>
            <w:noWrap/>
            <w:vAlign w:val="bottom"/>
            <w:hideMark/>
          </w:tcPr>
          <w:p w14:paraId="62FBE4DC"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Courant</w:t>
            </w:r>
            <w:r>
              <w:rPr>
                <w:rFonts w:ascii="Arial" w:hAnsi="Arial"/>
                <w:color w:val="000000"/>
                <w:sz w:val="22"/>
                <w:szCs w:val="22"/>
                <w:vertAlign w:val="superscript"/>
              </w:rPr>
              <w:t>1</w:t>
            </w:r>
          </w:p>
        </w:tc>
        <w:tc>
          <w:tcPr>
            <w:tcW w:w="1796" w:type="dxa"/>
            <w:tcBorders>
              <w:top w:val="nil"/>
              <w:left w:val="nil"/>
              <w:bottom w:val="nil"/>
              <w:right w:val="nil"/>
            </w:tcBorders>
            <w:shd w:val="clear" w:color="auto" w:fill="auto"/>
            <w:noWrap/>
            <w:vAlign w:val="bottom"/>
            <w:hideMark/>
          </w:tcPr>
          <w:p w14:paraId="7487B604" w14:textId="2DC4AA7F" w:rsidR="00EC5139" w:rsidRPr="00EC5139" w:rsidRDefault="00EC5139" w:rsidP="00EC5139">
            <w:pPr>
              <w:jc w:val="right"/>
              <w:rPr>
                <w:rFonts w:ascii="Arial" w:hAnsi="Arial" w:cs="Arial"/>
                <w:color w:val="000000"/>
                <w:sz w:val="22"/>
              </w:rPr>
            </w:pPr>
            <w:r>
              <w:rPr>
                <w:rFonts w:ascii="Arial" w:hAnsi="Arial"/>
                <w:color w:val="000000"/>
                <w:sz w:val="22"/>
                <w:szCs w:val="22"/>
              </w:rPr>
              <w:t xml:space="preserve">1 206 610 $ </w:t>
            </w:r>
          </w:p>
        </w:tc>
        <w:tc>
          <w:tcPr>
            <w:tcW w:w="1594" w:type="dxa"/>
            <w:tcBorders>
              <w:top w:val="nil"/>
              <w:left w:val="nil"/>
              <w:bottom w:val="nil"/>
              <w:right w:val="single" w:sz="8" w:space="0" w:color="auto"/>
            </w:tcBorders>
            <w:shd w:val="clear" w:color="auto" w:fill="auto"/>
            <w:noWrap/>
            <w:vAlign w:val="bottom"/>
            <w:hideMark/>
          </w:tcPr>
          <w:p w14:paraId="155EBF73" w14:textId="6CCD9BF5" w:rsidR="00EC5139" w:rsidRPr="00EC5139" w:rsidRDefault="00EC5139" w:rsidP="00EC5139">
            <w:pPr>
              <w:jc w:val="right"/>
              <w:rPr>
                <w:rFonts w:ascii="Arial" w:hAnsi="Arial" w:cs="Arial"/>
                <w:color w:val="000000"/>
                <w:sz w:val="22"/>
                <w:szCs w:val="22"/>
              </w:rPr>
            </w:pPr>
            <w:r>
              <w:rPr>
                <w:rFonts w:ascii="Arial" w:hAnsi="Arial"/>
                <w:color w:val="000000"/>
                <w:sz w:val="22"/>
                <w:szCs w:val="22"/>
              </w:rPr>
              <w:t>91,8 %</w:t>
            </w:r>
          </w:p>
        </w:tc>
      </w:tr>
      <w:tr w:rsidR="00EC5139" w:rsidRPr="00864AD4" w14:paraId="7DD434F4" w14:textId="77777777" w:rsidTr="00813F71">
        <w:trPr>
          <w:trHeight w:val="351"/>
        </w:trPr>
        <w:tc>
          <w:tcPr>
            <w:tcW w:w="3165" w:type="dxa"/>
            <w:tcBorders>
              <w:top w:val="nil"/>
              <w:left w:val="single" w:sz="8" w:space="0" w:color="auto"/>
              <w:bottom w:val="nil"/>
              <w:right w:val="nil"/>
            </w:tcBorders>
            <w:shd w:val="clear" w:color="auto" w:fill="auto"/>
            <w:noWrap/>
            <w:vAlign w:val="bottom"/>
            <w:hideMark/>
          </w:tcPr>
          <w:p w14:paraId="25BFAC48"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1 à 29 jours</w:t>
            </w:r>
          </w:p>
        </w:tc>
        <w:tc>
          <w:tcPr>
            <w:tcW w:w="1796" w:type="dxa"/>
            <w:tcBorders>
              <w:top w:val="nil"/>
              <w:left w:val="nil"/>
              <w:bottom w:val="nil"/>
              <w:right w:val="nil"/>
            </w:tcBorders>
            <w:shd w:val="clear" w:color="auto" w:fill="auto"/>
            <w:noWrap/>
            <w:vAlign w:val="bottom"/>
            <w:hideMark/>
          </w:tcPr>
          <w:p w14:paraId="45411102" w14:textId="26E4ED55"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54 908 $ </w:t>
            </w:r>
          </w:p>
        </w:tc>
        <w:tc>
          <w:tcPr>
            <w:tcW w:w="1594" w:type="dxa"/>
            <w:tcBorders>
              <w:top w:val="nil"/>
              <w:left w:val="nil"/>
              <w:bottom w:val="nil"/>
              <w:right w:val="single" w:sz="8" w:space="0" w:color="auto"/>
            </w:tcBorders>
            <w:shd w:val="clear" w:color="auto" w:fill="auto"/>
            <w:noWrap/>
            <w:vAlign w:val="bottom"/>
            <w:hideMark/>
          </w:tcPr>
          <w:p w14:paraId="6C36652C" w14:textId="37719BF0" w:rsidR="00EC5139" w:rsidRPr="00EC5139" w:rsidRDefault="00EC5139" w:rsidP="00EC5139">
            <w:pPr>
              <w:jc w:val="right"/>
              <w:rPr>
                <w:rFonts w:ascii="Arial" w:hAnsi="Arial" w:cs="Arial"/>
                <w:color w:val="000000"/>
                <w:sz w:val="22"/>
                <w:szCs w:val="22"/>
              </w:rPr>
            </w:pPr>
            <w:r>
              <w:rPr>
                <w:rFonts w:ascii="Arial" w:hAnsi="Arial"/>
                <w:color w:val="000000"/>
                <w:sz w:val="22"/>
                <w:szCs w:val="22"/>
              </w:rPr>
              <w:t>4,2 %</w:t>
            </w:r>
          </w:p>
        </w:tc>
      </w:tr>
      <w:tr w:rsidR="00EC5139" w:rsidRPr="00864AD4" w14:paraId="7605F359" w14:textId="77777777" w:rsidTr="00813F71">
        <w:trPr>
          <w:trHeight w:val="351"/>
        </w:trPr>
        <w:tc>
          <w:tcPr>
            <w:tcW w:w="3165" w:type="dxa"/>
            <w:tcBorders>
              <w:top w:val="nil"/>
              <w:left w:val="single" w:sz="8" w:space="0" w:color="auto"/>
              <w:bottom w:val="nil"/>
              <w:right w:val="nil"/>
            </w:tcBorders>
            <w:shd w:val="clear" w:color="auto" w:fill="auto"/>
            <w:noWrap/>
            <w:vAlign w:val="bottom"/>
            <w:hideMark/>
          </w:tcPr>
          <w:p w14:paraId="51006B1A"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30 à 59 jours</w:t>
            </w:r>
          </w:p>
        </w:tc>
        <w:tc>
          <w:tcPr>
            <w:tcW w:w="1796" w:type="dxa"/>
            <w:tcBorders>
              <w:top w:val="nil"/>
              <w:left w:val="nil"/>
              <w:bottom w:val="nil"/>
              <w:right w:val="nil"/>
            </w:tcBorders>
            <w:shd w:val="clear" w:color="auto" w:fill="auto"/>
            <w:noWrap/>
            <w:vAlign w:val="bottom"/>
            <w:hideMark/>
          </w:tcPr>
          <w:p w14:paraId="1819A508" w14:textId="1C7819A9"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16 650 $ </w:t>
            </w:r>
          </w:p>
        </w:tc>
        <w:tc>
          <w:tcPr>
            <w:tcW w:w="1594" w:type="dxa"/>
            <w:tcBorders>
              <w:top w:val="nil"/>
              <w:left w:val="nil"/>
              <w:bottom w:val="nil"/>
              <w:right w:val="single" w:sz="8" w:space="0" w:color="auto"/>
            </w:tcBorders>
            <w:shd w:val="clear" w:color="auto" w:fill="auto"/>
            <w:noWrap/>
            <w:vAlign w:val="bottom"/>
            <w:hideMark/>
          </w:tcPr>
          <w:p w14:paraId="2ADCDC8E" w14:textId="5961E4B7" w:rsidR="00EC5139" w:rsidRPr="00EC5139" w:rsidRDefault="00EC5139" w:rsidP="00EC5139">
            <w:pPr>
              <w:jc w:val="right"/>
              <w:rPr>
                <w:rFonts w:ascii="Arial" w:hAnsi="Arial" w:cs="Arial"/>
                <w:color w:val="000000"/>
                <w:sz w:val="22"/>
                <w:szCs w:val="22"/>
              </w:rPr>
            </w:pPr>
            <w:r>
              <w:rPr>
                <w:rFonts w:ascii="Arial" w:hAnsi="Arial"/>
                <w:color w:val="000000"/>
                <w:sz w:val="22"/>
                <w:szCs w:val="22"/>
              </w:rPr>
              <w:t>1,3 %</w:t>
            </w:r>
          </w:p>
        </w:tc>
      </w:tr>
      <w:tr w:rsidR="00EC5139" w:rsidRPr="00864AD4" w14:paraId="60B42F0E" w14:textId="77777777" w:rsidTr="00813F71">
        <w:trPr>
          <w:trHeight w:val="351"/>
        </w:trPr>
        <w:tc>
          <w:tcPr>
            <w:tcW w:w="3165" w:type="dxa"/>
            <w:tcBorders>
              <w:top w:val="nil"/>
              <w:left w:val="single" w:sz="8" w:space="0" w:color="auto"/>
              <w:bottom w:val="nil"/>
              <w:right w:val="nil"/>
            </w:tcBorders>
            <w:shd w:val="clear" w:color="auto" w:fill="auto"/>
            <w:noWrap/>
            <w:vAlign w:val="bottom"/>
            <w:hideMark/>
          </w:tcPr>
          <w:p w14:paraId="5D558D46"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60 à 89 jours</w:t>
            </w:r>
          </w:p>
        </w:tc>
        <w:tc>
          <w:tcPr>
            <w:tcW w:w="1796" w:type="dxa"/>
            <w:tcBorders>
              <w:top w:val="nil"/>
              <w:left w:val="nil"/>
              <w:bottom w:val="nil"/>
              <w:right w:val="nil"/>
            </w:tcBorders>
            <w:shd w:val="clear" w:color="auto" w:fill="auto"/>
            <w:noWrap/>
            <w:vAlign w:val="bottom"/>
            <w:hideMark/>
          </w:tcPr>
          <w:p w14:paraId="36199EA8" w14:textId="467D2935"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11 611 $ </w:t>
            </w:r>
          </w:p>
        </w:tc>
        <w:tc>
          <w:tcPr>
            <w:tcW w:w="1594" w:type="dxa"/>
            <w:tcBorders>
              <w:top w:val="nil"/>
              <w:left w:val="nil"/>
              <w:bottom w:val="nil"/>
              <w:right w:val="single" w:sz="8" w:space="0" w:color="auto"/>
            </w:tcBorders>
            <w:shd w:val="clear" w:color="auto" w:fill="auto"/>
            <w:noWrap/>
            <w:vAlign w:val="bottom"/>
            <w:hideMark/>
          </w:tcPr>
          <w:p w14:paraId="0FE85FE9" w14:textId="5C5D3C9A" w:rsidR="00EC5139" w:rsidRPr="00EC5139" w:rsidRDefault="00EC5139" w:rsidP="00EC5139">
            <w:pPr>
              <w:jc w:val="right"/>
              <w:rPr>
                <w:rFonts w:ascii="Arial" w:hAnsi="Arial" w:cs="Arial"/>
                <w:color w:val="000000"/>
                <w:sz w:val="22"/>
                <w:szCs w:val="22"/>
              </w:rPr>
            </w:pPr>
            <w:r>
              <w:rPr>
                <w:rFonts w:ascii="Arial" w:hAnsi="Arial"/>
                <w:color w:val="000000"/>
                <w:sz w:val="22"/>
                <w:szCs w:val="22"/>
              </w:rPr>
              <w:t>0,9 %</w:t>
            </w:r>
          </w:p>
        </w:tc>
      </w:tr>
      <w:tr w:rsidR="00EC5139" w:rsidRPr="00864AD4" w14:paraId="78F62C82" w14:textId="77777777" w:rsidTr="00813F71">
        <w:trPr>
          <w:trHeight w:val="351"/>
        </w:trPr>
        <w:tc>
          <w:tcPr>
            <w:tcW w:w="3165" w:type="dxa"/>
            <w:tcBorders>
              <w:top w:val="nil"/>
              <w:left w:val="single" w:sz="8" w:space="0" w:color="auto"/>
              <w:bottom w:val="nil"/>
              <w:right w:val="nil"/>
            </w:tcBorders>
            <w:shd w:val="clear" w:color="auto" w:fill="auto"/>
            <w:noWrap/>
            <w:vAlign w:val="bottom"/>
            <w:hideMark/>
          </w:tcPr>
          <w:p w14:paraId="7B7E1BE0"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90 à 119 jours</w:t>
            </w:r>
          </w:p>
        </w:tc>
        <w:tc>
          <w:tcPr>
            <w:tcW w:w="1796" w:type="dxa"/>
            <w:tcBorders>
              <w:top w:val="nil"/>
              <w:left w:val="nil"/>
              <w:bottom w:val="nil"/>
              <w:right w:val="nil"/>
            </w:tcBorders>
            <w:shd w:val="clear" w:color="auto" w:fill="auto"/>
            <w:noWrap/>
            <w:vAlign w:val="bottom"/>
            <w:hideMark/>
          </w:tcPr>
          <w:p w14:paraId="300060E1" w14:textId="4AA2B4AA"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9 557 $ </w:t>
            </w:r>
          </w:p>
        </w:tc>
        <w:tc>
          <w:tcPr>
            <w:tcW w:w="1594" w:type="dxa"/>
            <w:tcBorders>
              <w:top w:val="nil"/>
              <w:left w:val="nil"/>
              <w:bottom w:val="nil"/>
              <w:right w:val="single" w:sz="8" w:space="0" w:color="auto"/>
            </w:tcBorders>
            <w:shd w:val="clear" w:color="auto" w:fill="auto"/>
            <w:noWrap/>
            <w:vAlign w:val="bottom"/>
            <w:hideMark/>
          </w:tcPr>
          <w:p w14:paraId="19915EFF" w14:textId="63C575ED" w:rsidR="00EC5139" w:rsidRPr="00EC5139" w:rsidRDefault="00EC5139" w:rsidP="00EC5139">
            <w:pPr>
              <w:jc w:val="right"/>
              <w:rPr>
                <w:rFonts w:ascii="Arial" w:hAnsi="Arial" w:cs="Arial"/>
                <w:color w:val="000000"/>
                <w:sz w:val="22"/>
                <w:szCs w:val="22"/>
              </w:rPr>
            </w:pPr>
            <w:r>
              <w:rPr>
                <w:rFonts w:ascii="Arial" w:hAnsi="Arial"/>
                <w:color w:val="000000"/>
                <w:sz w:val="22"/>
                <w:szCs w:val="22"/>
              </w:rPr>
              <w:t>0,7 %</w:t>
            </w:r>
          </w:p>
        </w:tc>
      </w:tr>
      <w:tr w:rsidR="00EC5139" w:rsidRPr="00864AD4" w14:paraId="6A38641D" w14:textId="77777777" w:rsidTr="00813F71">
        <w:trPr>
          <w:trHeight w:val="351"/>
        </w:trPr>
        <w:tc>
          <w:tcPr>
            <w:tcW w:w="3165" w:type="dxa"/>
            <w:tcBorders>
              <w:top w:val="nil"/>
              <w:left w:val="single" w:sz="8" w:space="0" w:color="auto"/>
              <w:bottom w:val="nil"/>
              <w:right w:val="nil"/>
            </w:tcBorders>
            <w:shd w:val="clear" w:color="auto" w:fill="auto"/>
            <w:noWrap/>
            <w:vAlign w:val="bottom"/>
            <w:hideMark/>
          </w:tcPr>
          <w:p w14:paraId="17166932"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120 à 159 jours</w:t>
            </w:r>
          </w:p>
        </w:tc>
        <w:tc>
          <w:tcPr>
            <w:tcW w:w="1796" w:type="dxa"/>
            <w:tcBorders>
              <w:top w:val="nil"/>
              <w:left w:val="nil"/>
              <w:bottom w:val="nil"/>
              <w:right w:val="nil"/>
            </w:tcBorders>
            <w:shd w:val="clear" w:color="auto" w:fill="auto"/>
            <w:noWrap/>
            <w:vAlign w:val="bottom"/>
            <w:hideMark/>
          </w:tcPr>
          <w:p w14:paraId="51CE6147" w14:textId="5EF9B280"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8 222 $ </w:t>
            </w:r>
          </w:p>
        </w:tc>
        <w:tc>
          <w:tcPr>
            <w:tcW w:w="1594" w:type="dxa"/>
            <w:tcBorders>
              <w:top w:val="nil"/>
              <w:left w:val="nil"/>
              <w:bottom w:val="nil"/>
              <w:right w:val="single" w:sz="8" w:space="0" w:color="auto"/>
            </w:tcBorders>
            <w:shd w:val="clear" w:color="auto" w:fill="auto"/>
            <w:noWrap/>
            <w:vAlign w:val="bottom"/>
            <w:hideMark/>
          </w:tcPr>
          <w:p w14:paraId="7576D0E2" w14:textId="0D28007C" w:rsidR="00EC5139" w:rsidRPr="00EC5139" w:rsidRDefault="00EC5139" w:rsidP="00EC5139">
            <w:pPr>
              <w:jc w:val="right"/>
              <w:rPr>
                <w:rFonts w:ascii="Arial" w:hAnsi="Arial" w:cs="Arial"/>
                <w:color w:val="000000"/>
                <w:sz w:val="22"/>
                <w:szCs w:val="22"/>
              </w:rPr>
            </w:pPr>
            <w:r>
              <w:rPr>
                <w:rFonts w:ascii="Arial" w:hAnsi="Arial"/>
                <w:color w:val="000000"/>
                <w:sz w:val="22"/>
                <w:szCs w:val="22"/>
              </w:rPr>
              <w:t>0,6 %</w:t>
            </w:r>
          </w:p>
        </w:tc>
      </w:tr>
      <w:tr w:rsidR="00EC5139" w:rsidRPr="00864AD4" w14:paraId="4B61A466" w14:textId="77777777" w:rsidTr="00813F71">
        <w:trPr>
          <w:trHeight w:val="351"/>
        </w:trPr>
        <w:tc>
          <w:tcPr>
            <w:tcW w:w="3165" w:type="dxa"/>
            <w:tcBorders>
              <w:top w:val="nil"/>
              <w:left w:val="single" w:sz="8" w:space="0" w:color="auto"/>
              <w:bottom w:val="single" w:sz="4" w:space="0" w:color="auto"/>
              <w:right w:val="nil"/>
            </w:tcBorders>
            <w:shd w:val="clear" w:color="auto" w:fill="auto"/>
            <w:noWrap/>
            <w:vAlign w:val="bottom"/>
            <w:hideMark/>
          </w:tcPr>
          <w:p w14:paraId="106589AD" w14:textId="77777777" w:rsidR="00EC5139" w:rsidRPr="00216C30" w:rsidRDefault="00EC5139" w:rsidP="00EC5139">
            <w:pPr>
              <w:jc w:val="left"/>
              <w:rPr>
                <w:rFonts w:ascii="Arial" w:hAnsi="Arial" w:cs="Arial"/>
                <w:color w:val="000000"/>
                <w:sz w:val="22"/>
                <w:szCs w:val="22"/>
              </w:rPr>
            </w:pPr>
            <w:r>
              <w:rPr>
                <w:rFonts w:ascii="Arial" w:hAnsi="Arial"/>
                <w:color w:val="000000"/>
                <w:sz w:val="22"/>
                <w:szCs w:val="22"/>
              </w:rPr>
              <w:t>160 à 179 jours</w:t>
            </w:r>
          </w:p>
        </w:tc>
        <w:tc>
          <w:tcPr>
            <w:tcW w:w="1796" w:type="dxa"/>
            <w:tcBorders>
              <w:top w:val="nil"/>
              <w:left w:val="nil"/>
              <w:bottom w:val="single" w:sz="4" w:space="0" w:color="auto"/>
              <w:right w:val="nil"/>
            </w:tcBorders>
            <w:shd w:val="clear" w:color="auto" w:fill="auto"/>
            <w:noWrap/>
            <w:vAlign w:val="bottom"/>
            <w:hideMark/>
          </w:tcPr>
          <w:p w14:paraId="225F5CDC" w14:textId="2C41C30D"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7 391 $ </w:t>
            </w:r>
          </w:p>
        </w:tc>
        <w:tc>
          <w:tcPr>
            <w:tcW w:w="1594" w:type="dxa"/>
            <w:tcBorders>
              <w:top w:val="nil"/>
              <w:left w:val="nil"/>
              <w:bottom w:val="single" w:sz="4" w:space="0" w:color="auto"/>
              <w:right w:val="single" w:sz="8" w:space="0" w:color="auto"/>
            </w:tcBorders>
            <w:shd w:val="clear" w:color="auto" w:fill="auto"/>
            <w:noWrap/>
            <w:vAlign w:val="bottom"/>
            <w:hideMark/>
          </w:tcPr>
          <w:p w14:paraId="3F7A2170" w14:textId="71E4886F" w:rsidR="00EC5139" w:rsidRPr="00EC5139" w:rsidRDefault="00EC5139" w:rsidP="00EC5139">
            <w:pPr>
              <w:jc w:val="right"/>
              <w:rPr>
                <w:rFonts w:ascii="Arial" w:hAnsi="Arial" w:cs="Arial"/>
                <w:color w:val="000000"/>
                <w:sz w:val="22"/>
                <w:szCs w:val="22"/>
              </w:rPr>
            </w:pPr>
            <w:r>
              <w:rPr>
                <w:rFonts w:ascii="Arial" w:hAnsi="Arial"/>
                <w:color w:val="000000"/>
                <w:sz w:val="22"/>
                <w:szCs w:val="22"/>
              </w:rPr>
              <w:t>0,6 %</w:t>
            </w:r>
          </w:p>
        </w:tc>
      </w:tr>
      <w:tr w:rsidR="00EC5139" w:rsidRPr="00864AD4" w14:paraId="7D734BA3" w14:textId="77777777" w:rsidTr="00813F71">
        <w:trPr>
          <w:trHeight w:val="422"/>
        </w:trPr>
        <w:tc>
          <w:tcPr>
            <w:tcW w:w="3165" w:type="dxa"/>
            <w:tcBorders>
              <w:top w:val="nil"/>
              <w:left w:val="single" w:sz="8" w:space="0" w:color="auto"/>
              <w:bottom w:val="single" w:sz="8" w:space="0" w:color="auto"/>
              <w:right w:val="nil"/>
            </w:tcBorders>
            <w:shd w:val="clear" w:color="auto" w:fill="auto"/>
            <w:noWrap/>
            <w:vAlign w:val="bottom"/>
            <w:hideMark/>
          </w:tcPr>
          <w:p w14:paraId="7BECA74E" w14:textId="77777777" w:rsidR="00EC5139" w:rsidRPr="00216C30" w:rsidRDefault="00EC5139" w:rsidP="00EC5139">
            <w:pPr>
              <w:jc w:val="left"/>
              <w:rPr>
                <w:rFonts w:ascii="Arial" w:hAnsi="Arial" w:cs="Arial"/>
                <w:b/>
                <w:bCs/>
                <w:color w:val="000000"/>
                <w:sz w:val="22"/>
                <w:szCs w:val="22"/>
              </w:rPr>
            </w:pPr>
            <w:r>
              <w:rPr>
                <w:rFonts w:ascii="Arial" w:hAnsi="Arial"/>
                <w:b/>
                <w:bCs/>
                <w:color w:val="000000"/>
                <w:sz w:val="22"/>
                <w:szCs w:val="22"/>
              </w:rPr>
              <w:t>Total</w:t>
            </w:r>
            <w:r>
              <w:rPr>
                <w:rFonts w:ascii="Arial" w:hAnsi="Arial"/>
                <w:b/>
                <w:bCs/>
                <w:color w:val="000000"/>
                <w:sz w:val="22"/>
                <w:szCs w:val="22"/>
                <w:vertAlign w:val="superscript"/>
              </w:rPr>
              <w:t>2</w:t>
            </w:r>
          </w:p>
        </w:tc>
        <w:tc>
          <w:tcPr>
            <w:tcW w:w="1796" w:type="dxa"/>
            <w:tcBorders>
              <w:top w:val="nil"/>
              <w:left w:val="nil"/>
              <w:bottom w:val="single" w:sz="8" w:space="0" w:color="auto"/>
              <w:right w:val="nil"/>
            </w:tcBorders>
            <w:shd w:val="clear" w:color="auto" w:fill="auto"/>
            <w:noWrap/>
            <w:vAlign w:val="bottom"/>
            <w:hideMark/>
          </w:tcPr>
          <w:p w14:paraId="40DB5BC3" w14:textId="67530BCC" w:rsidR="00EC5139" w:rsidRPr="00EC5139" w:rsidRDefault="00EC5139" w:rsidP="00EC5139">
            <w:pPr>
              <w:jc w:val="right"/>
              <w:rPr>
                <w:rFonts w:ascii="Arial" w:hAnsi="Arial" w:cs="Arial"/>
                <w:b/>
                <w:bCs/>
                <w:color w:val="000000"/>
                <w:sz w:val="22"/>
                <w:szCs w:val="22"/>
              </w:rPr>
            </w:pPr>
            <w:r>
              <w:rPr>
                <w:rFonts w:ascii="Arial" w:hAnsi="Arial"/>
                <w:b/>
                <w:bCs/>
                <w:color w:val="000000"/>
                <w:sz w:val="22"/>
                <w:szCs w:val="22"/>
              </w:rPr>
              <w:t xml:space="preserve">1 314 948 $ </w:t>
            </w:r>
          </w:p>
        </w:tc>
        <w:tc>
          <w:tcPr>
            <w:tcW w:w="1594" w:type="dxa"/>
            <w:tcBorders>
              <w:top w:val="nil"/>
              <w:left w:val="nil"/>
              <w:bottom w:val="single" w:sz="8" w:space="0" w:color="auto"/>
              <w:right w:val="single" w:sz="8" w:space="0" w:color="auto"/>
            </w:tcBorders>
            <w:shd w:val="clear" w:color="auto" w:fill="auto"/>
            <w:noWrap/>
            <w:vAlign w:val="bottom"/>
            <w:hideMark/>
          </w:tcPr>
          <w:p w14:paraId="3A5C2E91" w14:textId="65BB4A62" w:rsidR="00EC5139" w:rsidRPr="00EC5139" w:rsidRDefault="00EC5139" w:rsidP="00EC5139">
            <w:pPr>
              <w:jc w:val="right"/>
              <w:rPr>
                <w:rFonts w:ascii="Arial" w:hAnsi="Arial" w:cs="Arial"/>
                <w:b/>
                <w:bCs/>
                <w:color w:val="000000"/>
                <w:sz w:val="22"/>
                <w:szCs w:val="22"/>
              </w:rPr>
            </w:pPr>
            <w:r>
              <w:rPr>
                <w:rFonts w:ascii="Arial" w:hAnsi="Arial"/>
                <w:b/>
                <w:bCs/>
                <w:color w:val="000000"/>
                <w:sz w:val="22"/>
                <w:szCs w:val="22"/>
              </w:rPr>
              <w:t>100,0 %</w:t>
            </w:r>
          </w:p>
        </w:tc>
      </w:tr>
    </w:tbl>
    <w:p w14:paraId="4B2999AF" w14:textId="77777777" w:rsidR="005C0068" w:rsidRPr="00216C30" w:rsidRDefault="00631FE2" w:rsidP="00813F71">
      <w:pPr>
        <w:rPr>
          <w:rFonts w:ascii="Arial" w:hAnsi="Arial" w:cs="Arial"/>
          <w:sz w:val="22"/>
        </w:rPr>
      </w:pPr>
      <w:r>
        <w:rPr>
          <w:rFonts w:ascii="Arial" w:hAnsi="Arial"/>
          <w:sz w:val="22"/>
        </w:rPr>
        <w:t>Remarque 1 : la catégorie Courant comprend les soldes à zéro et les soldes créditeurs</w:t>
      </w:r>
    </w:p>
    <w:p w14:paraId="15F9B6F4" w14:textId="77777777" w:rsidR="00822E7E" w:rsidRPr="00216C30" w:rsidRDefault="00822E7E" w:rsidP="00822E7E">
      <w:pPr>
        <w:rPr>
          <w:rFonts w:ascii="Arial" w:hAnsi="Arial" w:cs="Arial"/>
          <w:sz w:val="22"/>
        </w:rPr>
      </w:pPr>
      <w:r>
        <w:rPr>
          <w:rFonts w:ascii="Arial" w:hAnsi="Arial"/>
          <w:sz w:val="22"/>
        </w:rPr>
        <w:t>Remarque 2 : comme l’indique le rapport de la soumission réglementaire BH</w:t>
      </w:r>
    </w:p>
    <w:p w14:paraId="27EC6318" w14:textId="77777777" w:rsidR="00052835" w:rsidRPr="00780C43" w:rsidRDefault="00052835" w:rsidP="00813F71">
      <w:pPr>
        <w:rPr>
          <w:rFonts w:ascii="Arial" w:hAnsi="Arial" w:cs="Arial"/>
          <w:sz w:val="22"/>
        </w:rPr>
      </w:pPr>
    </w:p>
    <w:p w14:paraId="32A248E4" w14:textId="77777777" w:rsidR="00052835" w:rsidRPr="00780C43" w:rsidRDefault="00052835" w:rsidP="00813F71">
      <w:pPr>
        <w:rPr>
          <w:rFonts w:ascii="Arial" w:hAnsi="Arial" w:cs="Arial"/>
        </w:rPr>
      </w:pPr>
    </w:p>
    <w:p w14:paraId="16D31D03" w14:textId="77777777" w:rsidR="00052835" w:rsidRPr="00780C43" w:rsidRDefault="00052835" w:rsidP="00813F71">
      <w:pPr>
        <w:rPr>
          <w:rFonts w:ascii="Arial" w:hAnsi="Arial" w:cs="Arial"/>
        </w:rPr>
      </w:pPr>
    </w:p>
    <w:p w14:paraId="3C0CA8D3" w14:textId="77777777" w:rsidR="00813F71" w:rsidRPr="00780C43" w:rsidRDefault="00813F71" w:rsidP="00813F71">
      <w:pPr>
        <w:rPr>
          <w:rFonts w:ascii="Arial" w:hAnsi="Arial" w:cs="Arial"/>
        </w:rPr>
      </w:pPr>
    </w:p>
    <w:tbl>
      <w:tblPr>
        <w:tblW w:w="6684" w:type="dxa"/>
        <w:tblInd w:w="89" w:type="dxa"/>
        <w:tblLook w:val="04A0" w:firstRow="1" w:lastRow="0" w:firstColumn="1" w:lastColumn="0" w:noHBand="0" w:noVBand="1"/>
      </w:tblPr>
      <w:tblGrid>
        <w:gridCol w:w="3228"/>
        <w:gridCol w:w="1831"/>
        <w:gridCol w:w="1625"/>
      </w:tblGrid>
      <w:tr w:rsidR="00813F71" w:rsidRPr="00864AD4" w14:paraId="3F6743DE" w14:textId="77777777" w:rsidTr="000736FF">
        <w:trPr>
          <w:trHeight w:val="676"/>
        </w:trPr>
        <w:tc>
          <w:tcPr>
            <w:tcW w:w="3228" w:type="dxa"/>
            <w:tcBorders>
              <w:top w:val="single" w:sz="8" w:space="0" w:color="auto"/>
              <w:left w:val="single" w:sz="8" w:space="0" w:color="auto"/>
              <w:bottom w:val="single" w:sz="4" w:space="0" w:color="auto"/>
              <w:right w:val="nil"/>
            </w:tcBorders>
            <w:shd w:val="clear" w:color="auto" w:fill="auto"/>
            <w:noWrap/>
            <w:vAlign w:val="bottom"/>
            <w:hideMark/>
          </w:tcPr>
          <w:p w14:paraId="4CB56AFD" w14:textId="77777777" w:rsidR="00813F71" w:rsidRPr="00216C30" w:rsidRDefault="000D3818" w:rsidP="00813F71">
            <w:pPr>
              <w:jc w:val="left"/>
              <w:rPr>
                <w:rFonts w:ascii="Arial" w:hAnsi="Arial" w:cs="Arial"/>
                <w:b/>
                <w:bCs/>
                <w:color w:val="000000"/>
                <w:sz w:val="22"/>
                <w:szCs w:val="22"/>
              </w:rPr>
            </w:pPr>
            <w:r>
              <w:rPr>
                <w:rFonts w:ascii="Arial" w:hAnsi="Arial"/>
                <w:b/>
                <w:bCs/>
                <w:color w:val="000000"/>
                <w:sz w:val="22"/>
                <w:szCs w:val="22"/>
              </w:rPr>
              <w:t>Par province</w:t>
            </w:r>
          </w:p>
        </w:tc>
        <w:tc>
          <w:tcPr>
            <w:tcW w:w="1831" w:type="dxa"/>
            <w:tcBorders>
              <w:top w:val="single" w:sz="8" w:space="0" w:color="auto"/>
              <w:left w:val="nil"/>
              <w:bottom w:val="single" w:sz="4" w:space="0" w:color="auto"/>
              <w:right w:val="nil"/>
            </w:tcBorders>
            <w:shd w:val="clear" w:color="auto" w:fill="auto"/>
            <w:vAlign w:val="bottom"/>
            <w:hideMark/>
          </w:tcPr>
          <w:p w14:paraId="66D6388F" w14:textId="77777777" w:rsidR="00813F71" w:rsidRPr="00216C30" w:rsidRDefault="00813F71" w:rsidP="00813F71">
            <w:pPr>
              <w:jc w:val="right"/>
              <w:rPr>
                <w:rFonts w:ascii="Arial" w:hAnsi="Arial" w:cs="Arial"/>
                <w:b/>
                <w:bCs/>
                <w:color w:val="000000"/>
                <w:sz w:val="22"/>
                <w:szCs w:val="22"/>
              </w:rPr>
            </w:pPr>
            <w:r>
              <w:rPr>
                <w:rFonts w:ascii="Arial" w:hAnsi="Arial"/>
                <w:b/>
                <w:bCs/>
                <w:color w:val="000000"/>
                <w:sz w:val="22"/>
                <w:szCs w:val="22"/>
              </w:rPr>
              <w:t>Créances impayées</w:t>
            </w:r>
          </w:p>
        </w:tc>
        <w:tc>
          <w:tcPr>
            <w:tcW w:w="1625" w:type="dxa"/>
            <w:tcBorders>
              <w:top w:val="single" w:sz="8" w:space="0" w:color="auto"/>
              <w:left w:val="nil"/>
              <w:bottom w:val="single" w:sz="4" w:space="0" w:color="auto"/>
              <w:right w:val="single" w:sz="8" w:space="0" w:color="auto"/>
            </w:tcBorders>
            <w:shd w:val="clear" w:color="auto" w:fill="auto"/>
            <w:vAlign w:val="bottom"/>
            <w:hideMark/>
          </w:tcPr>
          <w:p w14:paraId="4344BF2F" w14:textId="77777777" w:rsidR="00813F71" w:rsidRPr="00216C30" w:rsidRDefault="00813F71" w:rsidP="00813F71">
            <w:pPr>
              <w:jc w:val="right"/>
              <w:rPr>
                <w:rFonts w:ascii="Arial" w:hAnsi="Arial" w:cs="Arial"/>
                <w:b/>
                <w:bCs/>
                <w:color w:val="000000"/>
                <w:sz w:val="22"/>
                <w:szCs w:val="22"/>
              </w:rPr>
            </w:pPr>
            <w:r>
              <w:rPr>
                <w:rFonts w:ascii="Arial" w:hAnsi="Arial"/>
                <w:b/>
                <w:bCs/>
                <w:color w:val="000000"/>
                <w:sz w:val="22"/>
                <w:szCs w:val="22"/>
              </w:rPr>
              <w:t>% des créances</w:t>
            </w:r>
          </w:p>
        </w:tc>
      </w:tr>
      <w:tr w:rsidR="00EC5139" w:rsidRPr="00864AD4" w14:paraId="6DEA9CAE"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77A374A9"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Alberta</w:t>
            </w:r>
          </w:p>
        </w:tc>
        <w:tc>
          <w:tcPr>
            <w:tcW w:w="1831" w:type="dxa"/>
            <w:tcBorders>
              <w:top w:val="nil"/>
              <w:left w:val="nil"/>
              <w:bottom w:val="nil"/>
              <w:right w:val="nil"/>
            </w:tcBorders>
            <w:shd w:val="clear" w:color="auto" w:fill="auto"/>
            <w:noWrap/>
            <w:vAlign w:val="bottom"/>
            <w:hideMark/>
          </w:tcPr>
          <w:p w14:paraId="54BF6F81" w14:textId="77F88C83" w:rsidR="00EC5139" w:rsidRPr="00EC5139" w:rsidRDefault="00EC5139" w:rsidP="00EC5139">
            <w:pPr>
              <w:jc w:val="right"/>
              <w:rPr>
                <w:rFonts w:ascii="Arial" w:hAnsi="Arial" w:cs="Arial"/>
                <w:color w:val="000000"/>
                <w:sz w:val="22"/>
              </w:rPr>
            </w:pPr>
            <w:r>
              <w:rPr>
                <w:rFonts w:ascii="Arial" w:hAnsi="Arial"/>
                <w:color w:val="000000"/>
                <w:sz w:val="22"/>
                <w:szCs w:val="22"/>
              </w:rPr>
              <w:t xml:space="preserve">196 344 $ </w:t>
            </w:r>
          </w:p>
        </w:tc>
        <w:tc>
          <w:tcPr>
            <w:tcW w:w="1625" w:type="dxa"/>
            <w:tcBorders>
              <w:top w:val="nil"/>
              <w:left w:val="nil"/>
              <w:bottom w:val="nil"/>
              <w:right w:val="single" w:sz="8" w:space="0" w:color="auto"/>
            </w:tcBorders>
            <w:shd w:val="clear" w:color="auto" w:fill="auto"/>
            <w:noWrap/>
            <w:vAlign w:val="bottom"/>
            <w:hideMark/>
          </w:tcPr>
          <w:p w14:paraId="4F25884C" w14:textId="15338404" w:rsidR="00EC5139" w:rsidRPr="00EC5139" w:rsidRDefault="00EC5139" w:rsidP="00EC5139">
            <w:pPr>
              <w:jc w:val="right"/>
              <w:rPr>
                <w:rFonts w:ascii="Arial" w:hAnsi="Arial" w:cs="Arial"/>
                <w:color w:val="000000"/>
                <w:sz w:val="22"/>
                <w:szCs w:val="22"/>
              </w:rPr>
            </w:pPr>
            <w:r>
              <w:rPr>
                <w:rFonts w:ascii="Arial" w:hAnsi="Arial"/>
                <w:color w:val="000000"/>
                <w:sz w:val="22"/>
                <w:szCs w:val="22"/>
              </w:rPr>
              <w:t>14,9 %</w:t>
            </w:r>
          </w:p>
        </w:tc>
      </w:tr>
      <w:tr w:rsidR="00EC5139" w:rsidRPr="00864AD4" w14:paraId="5C1AA24D"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5C89AD94"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Colombie-Britannique</w:t>
            </w:r>
          </w:p>
        </w:tc>
        <w:tc>
          <w:tcPr>
            <w:tcW w:w="1831" w:type="dxa"/>
            <w:tcBorders>
              <w:top w:val="nil"/>
              <w:left w:val="nil"/>
              <w:bottom w:val="nil"/>
              <w:right w:val="nil"/>
            </w:tcBorders>
            <w:shd w:val="clear" w:color="auto" w:fill="auto"/>
            <w:noWrap/>
            <w:vAlign w:val="bottom"/>
            <w:hideMark/>
          </w:tcPr>
          <w:p w14:paraId="28D4F609" w14:textId="745C3BAE"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179 367 $ </w:t>
            </w:r>
          </w:p>
        </w:tc>
        <w:tc>
          <w:tcPr>
            <w:tcW w:w="1625" w:type="dxa"/>
            <w:tcBorders>
              <w:top w:val="nil"/>
              <w:left w:val="nil"/>
              <w:bottom w:val="nil"/>
              <w:right w:val="single" w:sz="8" w:space="0" w:color="auto"/>
            </w:tcBorders>
            <w:shd w:val="clear" w:color="auto" w:fill="auto"/>
            <w:noWrap/>
            <w:vAlign w:val="bottom"/>
            <w:hideMark/>
          </w:tcPr>
          <w:p w14:paraId="0CEF86FF" w14:textId="116A8530" w:rsidR="00EC5139" w:rsidRPr="00EC5139" w:rsidRDefault="00EC5139" w:rsidP="00EC5139">
            <w:pPr>
              <w:jc w:val="right"/>
              <w:rPr>
                <w:rFonts w:ascii="Arial" w:hAnsi="Arial" w:cs="Arial"/>
                <w:color w:val="000000"/>
                <w:sz w:val="22"/>
                <w:szCs w:val="22"/>
              </w:rPr>
            </w:pPr>
            <w:r>
              <w:rPr>
                <w:rFonts w:ascii="Arial" w:hAnsi="Arial"/>
                <w:color w:val="000000"/>
                <w:sz w:val="22"/>
                <w:szCs w:val="22"/>
              </w:rPr>
              <w:t>13,6 %</w:t>
            </w:r>
          </w:p>
        </w:tc>
      </w:tr>
      <w:tr w:rsidR="00EC5139" w:rsidRPr="00864AD4" w14:paraId="54D0938E"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04D1509F"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Manitoba</w:t>
            </w:r>
          </w:p>
        </w:tc>
        <w:tc>
          <w:tcPr>
            <w:tcW w:w="1831" w:type="dxa"/>
            <w:tcBorders>
              <w:top w:val="nil"/>
              <w:left w:val="nil"/>
              <w:bottom w:val="nil"/>
              <w:right w:val="nil"/>
            </w:tcBorders>
            <w:shd w:val="clear" w:color="auto" w:fill="auto"/>
            <w:noWrap/>
            <w:vAlign w:val="bottom"/>
            <w:hideMark/>
          </w:tcPr>
          <w:p w14:paraId="6D0EA5C5" w14:textId="3E844965"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57 692 $ </w:t>
            </w:r>
          </w:p>
        </w:tc>
        <w:tc>
          <w:tcPr>
            <w:tcW w:w="1625" w:type="dxa"/>
            <w:tcBorders>
              <w:top w:val="nil"/>
              <w:left w:val="nil"/>
              <w:bottom w:val="nil"/>
              <w:right w:val="single" w:sz="8" w:space="0" w:color="auto"/>
            </w:tcBorders>
            <w:shd w:val="clear" w:color="auto" w:fill="auto"/>
            <w:noWrap/>
            <w:vAlign w:val="bottom"/>
            <w:hideMark/>
          </w:tcPr>
          <w:p w14:paraId="65FA77BE" w14:textId="1F731A2E" w:rsidR="00EC5139" w:rsidRPr="00EC5139" w:rsidRDefault="00EC5139" w:rsidP="00EC5139">
            <w:pPr>
              <w:jc w:val="right"/>
              <w:rPr>
                <w:rFonts w:ascii="Arial" w:hAnsi="Arial" w:cs="Arial"/>
                <w:color w:val="000000"/>
                <w:sz w:val="22"/>
                <w:szCs w:val="22"/>
              </w:rPr>
            </w:pPr>
            <w:r>
              <w:rPr>
                <w:rFonts w:ascii="Arial" w:hAnsi="Arial"/>
                <w:color w:val="000000"/>
                <w:sz w:val="22"/>
                <w:szCs w:val="22"/>
              </w:rPr>
              <w:t>4,4 %</w:t>
            </w:r>
          </w:p>
        </w:tc>
      </w:tr>
      <w:tr w:rsidR="00EC5139" w:rsidRPr="00864AD4" w14:paraId="218BFB2B"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60B99F20"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Nouveau-Brunswick</w:t>
            </w:r>
          </w:p>
        </w:tc>
        <w:tc>
          <w:tcPr>
            <w:tcW w:w="1831" w:type="dxa"/>
            <w:tcBorders>
              <w:top w:val="nil"/>
              <w:left w:val="nil"/>
              <w:bottom w:val="nil"/>
              <w:right w:val="nil"/>
            </w:tcBorders>
            <w:shd w:val="clear" w:color="auto" w:fill="auto"/>
            <w:noWrap/>
            <w:vAlign w:val="bottom"/>
            <w:hideMark/>
          </w:tcPr>
          <w:p w14:paraId="4C1A8815" w14:textId="7400820D"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21 638 $ </w:t>
            </w:r>
          </w:p>
        </w:tc>
        <w:tc>
          <w:tcPr>
            <w:tcW w:w="1625" w:type="dxa"/>
            <w:tcBorders>
              <w:top w:val="nil"/>
              <w:left w:val="nil"/>
              <w:bottom w:val="nil"/>
              <w:right w:val="single" w:sz="8" w:space="0" w:color="auto"/>
            </w:tcBorders>
            <w:shd w:val="clear" w:color="auto" w:fill="auto"/>
            <w:noWrap/>
            <w:vAlign w:val="bottom"/>
            <w:hideMark/>
          </w:tcPr>
          <w:p w14:paraId="30E37854" w14:textId="285047B8" w:rsidR="00EC5139" w:rsidRPr="00EC5139" w:rsidRDefault="00EC5139" w:rsidP="00EC5139">
            <w:pPr>
              <w:jc w:val="right"/>
              <w:rPr>
                <w:rFonts w:ascii="Arial" w:hAnsi="Arial" w:cs="Arial"/>
                <w:color w:val="000000"/>
                <w:sz w:val="22"/>
                <w:szCs w:val="22"/>
              </w:rPr>
            </w:pPr>
            <w:r>
              <w:rPr>
                <w:rFonts w:ascii="Arial" w:hAnsi="Arial"/>
                <w:color w:val="000000"/>
                <w:sz w:val="22"/>
                <w:szCs w:val="22"/>
              </w:rPr>
              <w:t>1,6 %</w:t>
            </w:r>
          </w:p>
        </w:tc>
      </w:tr>
      <w:tr w:rsidR="00EC5139" w:rsidRPr="00864AD4" w14:paraId="0D4FAD0D"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122F737F"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Terre-Neuve-et-Labrador</w:t>
            </w:r>
          </w:p>
        </w:tc>
        <w:tc>
          <w:tcPr>
            <w:tcW w:w="1831" w:type="dxa"/>
            <w:tcBorders>
              <w:top w:val="nil"/>
              <w:left w:val="nil"/>
              <w:bottom w:val="nil"/>
              <w:right w:val="nil"/>
            </w:tcBorders>
            <w:shd w:val="clear" w:color="auto" w:fill="auto"/>
            <w:noWrap/>
            <w:vAlign w:val="bottom"/>
            <w:hideMark/>
          </w:tcPr>
          <w:p w14:paraId="416E7E91" w14:textId="528A2F2C"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12 697 $ </w:t>
            </w:r>
          </w:p>
        </w:tc>
        <w:tc>
          <w:tcPr>
            <w:tcW w:w="1625" w:type="dxa"/>
            <w:tcBorders>
              <w:top w:val="nil"/>
              <w:left w:val="nil"/>
              <w:bottom w:val="nil"/>
              <w:right w:val="single" w:sz="8" w:space="0" w:color="auto"/>
            </w:tcBorders>
            <w:shd w:val="clear" w:color="auto" w:fill="auto"/>
            <w:noWrap/>
            <w:vAlign w:val="bottom"/>
            <w:hideMark/>
          </w:tcPr>
          <w:p w14:paraId="46FA59B1" w14:textId="1A408DF8" w:rsidR="00EC5139" w:rsidRPr="00EC5139" w:rsidRDefault="00EC5139" w:rsidP="00EC5139">
            <w:pPr>
              <w:jc w:val="right"/>
              <w:rPr>
                <w:rFonts w:ascii="Arial" w:hAnsi="Arial" w:cs="Arial"/>
                <w:color w:val="000000"/>
                <w:sz w:val="22"/>
                <w:szCs w:val="22"/>
              </w:rPr>
            </w:pPr>
            <w:r>
              <w:rPr>
                <w:rFonts w:ascii="Arial" w:hAnsi="Arial"/>
                <w:color w:val="000000"/>
                <w:sz w:val="22"/>
                <w:szCs w:val="22"/>
              </w:rPr>
              <w:t>1,0 %</w:t>
            </w:r>
          </w:p>
        </w:tc>
      </w:tr>
      <w:tr w:rsidR="00EC5139" w:rsidRPr="00864AD4" w14:paraId="5AEDD13C"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44AE85B8"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Territoires du Nord-Ouest</w:t>
            </w:r>
          </w:p>
        </w:tc>
        <w:tc>
          <w:tcPr>
            <w:tcW w:w="1831" w:type="dxa"/>
            <w:tcBorders>
              <w:top w:val="nil"/>
              <w:left w:val="nil"/>
              <w:bottom w:val="nil"/>
              <w:right w:val="nil"/>
            </w:tcBorders>
            <w:shd w:val="clear" w:color="auto" w:fill="auto"/>
            <w:noWrap/>
            <w:vAlign w:val="bottom"/>
            <w:hideMark/>
          </w:tcPr>
          <w:p w14:paraId="764CADF2" w14:textId="3993148C"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1 514 $ </w:t>
            </w:r>
          </w:p>
        </w:tc>
        <w:tc>
          <w:tcPr>
            <w:tcW w:w="1625" w:type="dxa"/>
            <w:tcBorders>
              <w:top w:val="nil"/>
              <w:left w:val="nil"/>
              <w:bottom w:val="nil"/>
              <w:right w:val="single" w:sz="8" w:space="0" w:color="auto"/>
            </w:tcBorders>
            <w:shd w:val="clear" w:color="auto" w:fill="auto"/>
            <w:noWrap/>
            <w:vAlign w:val="bottom"/>
            <w:hideMark/>
          </w:tcPr>
          <w:p w14:paraId="76BA0F67" w14:textId="04AA754E" w:rsidR="00EC5139" w:rsidRPr="00EC5139" w:rsidRDefault="00EC5139" w:rsidP="00EC5139">
            <w:pPr>
              <w:jc w:val="right"/>
              <w:rPr>
                <w:rFonts w:ascii="Arial" w:hAnsi="Arial" w:cs="Arial"/>
                <w:color w:val="000000"/>
                <w:sz w:val="22"/>
                <w:szCs w:val="22"/>
              </w:rPr>
            </w:pPr>
            <w:r>
              <w:rPr>
                <w:rFonts w:ascii="Arial" w:hAnsi="Arial"/>
                <w:color w:val="000000"/>
                <w:sz w:val="22"/>
                <w:szCs w:val="22"/>
              </w:rPr>
              <w:t>0,1 %</w:t>
            </w:r>
          </w:p>
        </w:tc>
      </w:tr>
      <w:tr w:rsidR="00EC5139" w:rsidRPr="00864AD4" w14:paraId="1FA72DD9"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7080DD82"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Nouvelle-Écosse</w:t>
            </w:r>
          </w:p>
        </w:tc>
        <w:tc>
          <w:tcPr>
            <w:tcW w:w="1831" w:type="dxa"/>
            <w:tcBorders>
              <w:top w:val="nil"/>
              <w:left w:val="nil"/>
              <w:bottom w:val="nil"/>
              <w:right w:val="nil"/>
            </w:tcBorders>
            <w:shd w:val="clear" w:color="auto" w:fill="auto"/>
            <w:noWrap/>
            <w:vAlign w:val="bottom"/>
            <w:hideMark/>
          </w:tcPr>
          <w:p w14:paraId="1ABEC7F4" w14:textId="5A881434"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27 763 $ </w:t>
            </w:r>
          </w:p>
        </w:tc>
        <w:tc>
          <w:tcPr>
            <w:tcW w:w="1625" w:type="dxa"/>
            <w:tcBorders>
              <w:top w:val="nil"/>
              <w:left w:val="nil"/>
              <w:bottom w:val="nil"/>
              <w:right w:val="single" w:sz="8" w:space="0" w:color="auto"/>
            </w:tcBorders>
            <w:shd w:val="clear" w:color="auto" w:fill="auto"/>
            <w:noWrap/>
            <w:vAlign w:val="bottom"/>
            <w:hideMark/>
          </w:tcPr>
          <w:p w14:paraId="24099BB5" w14:textId="3F14312D" w:rsidR="00EC5139" w:rsidRPr="00EC5139" w:rsidRDefault="00EC5139" w:rsidP="00EC5139">
            <w:pPr>
              <w:jc w:val="right"/>
              <w:rPr>
                <w:rFonts w:ascii="Arial" w:hAnsi="Arial" w:cs="Arial"/>
                <w:color w:val="000000"/>
                <w:sz w:val="22"/>
                <w:szCs w:val="22"/>
              </w:rPr>
            </w:pPr>
            <w:r>
              <w:rPr>
                <w:rFonts w:ascii="Arial" w:hAnsi="Arial"/>
                <w:color w:val="000000"/>
                <w:sz w:val="22"/>
                <w:szCs w:val="22"/>
              </w:rPr>
              <w:t>2,1 %</w:t>
            </w:r>
          </w:p>
        </w:tc>
      </w:tr>
      <w:tr w:rsidR="00EC5139" w:rsidRPr="00864AD4" w14:paraId="26CF6410"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6B968F0F"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Nunavut</w:t>
            </w:r>
          </w:p>
        </w:tc>
        <w:tc>
          <w:tcPr>
            <w:tcW w:w="1831" w:type="dxa"/>
            <w:tcBorders>
              <w:top w:val="nil"/>
              <w:left w:val="nil"/>
              <w:bottom w:val="nil"/>
              <w:right w:val="nil"/>
            </w:tcBorders>
            <w:shd w:val="clear" w:color="auto" w:fill="auto"/>
            <w:noWrap/>
            <w:vAlign w:val="bottom"/>
            <w:hideMark/>
          </w:tcPr>
          <w:p w14:paraId="09FB1941" w14:textId="317BE476"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383 $ </w:t>
            </w:r>
          </w:p>
        </w:tc>
        <w:tc>
          <w:tcPr>
            <w:tcW w:w="1625" w:type="dxa"/>
            <w:tcBorders>
              <w:top w:val="nil"/>
              <w:left w:val="nil"/>
              <w:bottom w:val="nil"/>
              <w:right w:val="single" w:sz="8" w:space="0" w:color="auto"/>
            </w:tcBorders>
            <w:shd w:val="clear" w:color="auto" w:fill="auto"/>
            <w:noWrap/>
            <w:vAlign w:val="bottom"/>
            <w:hideMark/>
          </w:tcPr>
          <w:p w14:paraId="01048E2F" w14:textId="3E69F09E" w:rsidR="00EC5139" w:rsidRPr="00EC5139" w:rsidRDefault="00EC5139" w:rsidP="00EC5139">
            <w:pPr>
              <w:jc w:val="right"/>
              <w:rPr>
                <w:rFonts w:ascii="Arial" w:hAnsi="Arial" w:cs="Arial"/>
                <w:color w:val="000000"/>
                <w:sz w:val="22"/>
                <w:szCs w:val="22"/>
              </w:rPr>
            </w:pPr>
            <w:r>
              <w:rPr>
                <w:rFonts w:ascii="Arial" w:hAnsi="Arial"/>
                <w:color w:val="000000"/>
                <w:sz w:val="22"/>
                <w:szCs w:val="22"/>
              </w:rPr>
              <w:t>0,0 %</w:t>
            </w:r>
          </w:p>
        </w:tc>
      </w:tr>
      <w:tr w:rsidR="00EC5139" w:rsidRPr="00864AD4" w14:paraId="46052458"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7D3E7C1F"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Ontario</w:t>
            </w:r>
          </w:p>
        </w:tc>
        <w:tc>
          <w:tcPr>
            <w:tcW w:w="1831" w:type="dxa"/>
            <w:tcBorders>
              <w:top w:val="nil"/>
              <w:left w:val="nil"/>
              <w:bottom w:val="nil"/>
              <w:right w:val="nil"/>
            </w:tcBorders>
            <w:shd w:val="clear" w:color="auto" w:fill="auto"/>
            <w:noWrap/>
            <w:vAlign w:val="bottom"/>
            <w:hideMark/>
          </w:tcPr>
          <w:p w14:paraId="612CB373" w14:textId="78F846F9"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763 736 $ </w:t>
            </w:r>
          </w:p>
        </w:tc>
        <w:tc>
          <w:tcPr>
            <w:tcW w:w="1625" w:type="dxa"/>
            <w:tcBorders>
              <w:top w:val="nil"/>
              <w:left w:val="nil"/>
              <w:bottom w:val="nil"/>
              <w:right w:val="single" w:sz="8" w:space="0" w:color="auto"/>
            </w:tcBorders>
            <w:shd w:val="clear" w:color="auto" w:fill="auto"/>
            <w:noWrap/>
            <w:vAlign w:val="bottom"/>
            <w:hideMark/>
          </w:tcPr>
          <w:p w14:paraId="0AED2084" w14:textId="67C7C2EE" w:rsidR="00EC5139" w:rsidRPr="00EC5139" w:rsidRDefault="00EC5139" w:rsidP="00EC5139">
            <w:pPr>
              <w:jc w:val="right"/>
              <w:rPr>
                <w:rFonts w:ascii="Arial" w:hAnsi="Arial" w:cs="Arial"/>
                <w:color w:val="000000"/>
                <w:sz w:val="22"/>
                <w:szCs w:val="22"/>
              </w:rPr>
            </w:pPr>
            <w:r>
              <w:rPr>
                <w:rFonts w:ascii="Arial" w:hAnsi="Arial"/>
                <w:color w:val="000000"/>
                <w:sz w:val="22"/>
                <w:szCs w:val="22"/>
              </w:rPr>
              <w:t>58,1 %</w:t>
            </w:r>
          </w:p>
        </w:tc>
      </w:tr>
      <w:tr w:rsidR="00EC5139" w:rsidRPr="00864AD4" w14:paraId="620D127C"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4E502D3E"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Île-du-Prince-Édouard</w:t>
            </w:r>
          </w:p>
        </w:tc>
        <w:tc>
          <w:tcPr>
            <w:tcW w:w="1831" w:type="dxa"/>
            <w:tcBorders>
              <w:top w:val="nil"/>
              <w:left w:val="nil"/>
              <w:bottom w:val="nil"/>
              <w:right w:val="nil"/>
            </w:tcBorders>
            <w:shd w:val="clear" w:color="auto" w:fill="auto"/>
            <w:noWrap/>
            <w:vAlign w:val="bottom"/>
            <w:hideMark/>
          </w:tcPr>
          <w:p w14:paraId="74E4853A" w14:textId="758E03B1"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3 227 $ </w:t>
            </w:r>
          </w:p>
        </w:tc>
        <w:tc>
          <w:tcPr>
            <w:tcW w:w="1625" w:type="dxa"/>
            <w:tcBorders>
              <w:top w:val="nil"/>
              <w:left w:val="nil"/>
              <w:bottom w:val="nil"/>
              <w:right w:val="single" w:sz="8" w:space="0" w:color="auto"/>
            </w:tcBorders>
            <w:shd w:val="clear" w:color="auto" w:fill="auto"/>
            <w:noWrap/>
            <w:vAlign w:val="bottom"/>
            <w:hideMark/>
          </w:tcPr>
          <w:p w14:paraId="7DD7FCE0" w14:textId="5D789624" w:rsidR="00EC5139" w:rsidRPr="00EC5139" w:rsidRDefault="00EC5139" w:rsidP="00EC5139">
            <w:pPr>
              <w:jc w:val="right"/>
              <w:rPr>
                <w:rFonts w:ascii="Arial" w:hAnsi="Arial" w:cs="Arial"/>
                <w:color w:val="000000"/>
                <w:sz w:val="22"/>
                <w:szCs w:val="22"/>
              </w:rPr>
            </w:pPr>
            <w:r>
              <w:rPr>
                <w:rFonts w:ascii="Arial" w:hAnsi="Arial"/>
                <w:color w:val="000000"/>
                <w:sz w:val="22"/>
                <w:szCs w:val="22"/>
              </w:rPr>
              <w:t>0,2 %</w:t>
            </w:r>
          </w:p>
        </w:tc>
      </w:tr>
      <w:tr w:rsidR="00EC5139" w:rsidRPr="00864AD4" w14:paraId="7EBFCE1D"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2A8B1BA7"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Québec</w:t>
            </w:r>
          </w:p>
        </w:tc>
        <w:tc>
          <w:tcPr>
            <w:tcW w:w="1831" w:type="dxa"/>
            <w:tcBorders>
              <w:top w:val="nil"/>
              <w:left w:val="nil"/>
              <w:bottom w:val="nil"/>
              <w:right w:val="nil"/>
            </w:tcBorders>
            <w:shd w:val="clear" w:color="auto" w:fill="auto"/>
            <w:noWrap/>
            <w:vAlign w:val="bottom"/>
            <w:hideMark/>
          </w:tcPr>
          <w:p w14:paraId="35B0B221" w14:textId="64309855"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13 882 $ </w:t>
            </w:r>
          </w:p>
        </w:tc>
        <w:tc>
          <w:tcPr>
            <w:tcW w:w="1625" w:type="dxa"/>
            <w:tcBorders>
              <w:top w:val="nil"/>
              <w:left w:val="nil"/>
              <w:bottom w:val="nil"/>
              <w:right w:val="single" w:sz="8" w:space="0" w:color="auto"/>
            </w:tcBorders>
            <w:shd w:val="clear" w:color="auto" w:fill="auto"/>
            <w:noWrap/>
            <w:vAlign w:val="bottom"/>
            <w:hideMark/>
          </w:tcPr>
          <w:p w14:paraId="56AE7B5F" w14:textId="3750D876" w:rsidR="00EC5139" w:rsidRPr="00EC5139" w:rsidRDefault="00EC5139" w:rsidP="00EC5139">
            <w:pPr>
              <w:jc w:val="right"/>
              <w:rPr>
                <w:rFonts w:ascii="Arial" w:hAnsi="Arial" w:cs="Arial"/>
                <w:color w:val="000000"/>
                <w:sz w:val="22"/>
                <w:szCs w:val="22"/>
              </w:rPr>
            </w:pPr>
            <w:r>
              <w:rPr>
                <w:rFonts w:ascii="Arial" w:hAnsi="Arial"/>
                <w:color w:val="000000"/>
                <w:sz w:val="22"/>
                <w:szCs w:val="22"/>
              </w:rPr>
              <w:t>1,1 %</w:t>
            </w:r>
          </w:p>
        </w:tc>
      </w:tr>
      <w:tr w:rsidR="00EC5139" w:rsidRPr="00864AD4" w14:paraId="01547B3E"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1F53303D"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Saskatchewan</w:t>
            </w:r>
          </w:p>
        </w:tc>
        <w:tc>
          <w:tcPr>
            <w:tcW w:w="1831" w:type="dxa"/>
            <w:tcBorders>
              <w:top w:val="nil"/>
              <w:left w:val="nil"/>
              <w:bottom w:val="nil"/>
              <w:right w:val="nil"/>
            </w:tcBorders>
            <w:shd w:val="clear" w:color="auto" w:fill="auto"/>
            <w:noWrap/>
            <w:vAlign w:val="bottom"/>
            <w:hideMark/>
          </w:tcPr>
          <w:p w14:paraId="556E57D2" w14:textId="338CE9B4"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35 353 $ </w:t>
            </w:r>
          </w:p>
        </w:tc>
        <w:tc>
          <w:tcPr>
            <w:tcW w:w="1625" w:type="dxa"/>
            <w:tcBorders>
              <w:top w:val="nil"/>
              <w:left w:val="nil"/>
              <w:bottom w:val="nil"/>
              <w:right w:val="single" w:sz="8" w:space="0" w:color="auto"/>
            </w:tcBorders>
            <w:shd w:val="clear" w:color="auto" w:fill="auto"/>
            <w:noWrap/>
            <w:vAlign w:val="bottom"/>
            <w:hideMark/>
          </w:tcPr>
          <w:p w14:paraId="052BEDF5" w14:textId="3FEE7921" w:rsidR="00EC5139" w:rsidRPr="00EC5139" w:rsidRDefault="00EC5139" w:rsidP="00EC5139">
            <w:pPr>
              <w:jc w:val="right"/>
              <w:rPr>
                <w:rFonts w:ascii="Arial" w:hAnsi="Arial" w:cs="Arial"/>
                <w:color w:val="000000"/>
                <w:sz w:val="22"/>
                <w:szCs w:val="22"/>
              </w:rPr>
            </w:pPr>
            <w:r>
              <w:rPr>
                <w:rFonts w:ascii="Arial" w:hAnsi="Arial"/>
                <w:color w:val="000000"/>
                <w:sz w:val="22"/>
                <w:szCs w:val="22"/>
              </w:rPr>
              <w:t>2,7 %</w:t>
            </w:r>
          </w:p>
        </w:tc>
      </w:tr>
      <w:tr w:rsidR="00EC5139" w:rsidRPr="00864AD4" w14:paraId="14B6D4A4"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2108A595"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Territoire du Yukon</w:t>
            </w:r>
          </w:p>
        </w:tc>
        <w:tc>
          <w:tcPr>
            <w:tcW w:w="1831" w:type="dxa"/>
            <w:tcBorders>
              <w:top w:val="nil"/>
              <w:left w:val="nil"/>
              <w:bottom w:val="nil"/>
              <w:right w:val="nil"/>
            </w:tcBorders>
            <w:shd w:val="clear" w:color="auto" w:fill="auto"/>
            <w:noWrap/>
            <w:vAlign w:val="bottom"/>
            <w:hideMark/>
          </w:tcPr>
          <w:p w14:paraId="63C51779" w14:textId="3AA9BF8E"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1 297 $ </w:t>
            </w:r>
          </w:p>
        </w:tc>
        <w:tc>
          <w:tcPr>
            <w:tcW w:w="1625" w:type="dxa"/>
            <w:tcBorders>
              <w:top w:val="nil"/>
              <w:left w:val="nil"/>
              <w:bottom w:val="nil"/>
              <w:right w:val="single" w:sz="8" w:space="0" w:color="auto"/>
            </w:tcBorders>
            <w:shd w:val="clear" w:color="auto" w:fill="auto"/>
            <w:noWrap/>
            <w:vAlign w:val="bottom"/>
            <w:hideMark/>
          </w:tcPr>
          <w:p w14:paraId="1B227A34" w14:textId="700D1C63" w:rsidR="00EC5139" w:rsidRPr="00EC5139" w:rsidRDefault="00EC5139" w:rsidP="00EC5139">
            <w:pPr>
              <w:jc w:val="right"/>
              <w:rPr>
                <w:rFonts w:ascii="Arial" w:hAnsi="Arial" w:cs="Arial"/>
                <w:color w:val="000000"/>
                <w:sz w:val="22"/>
                <w:szCs w:val="22"/>
              </w:rPr>
            </w:pPr>
            <w:r>
              <w:rPr>
                <w:rFonts w:ascii="Arial" w:hAnsi="Arial"/>
                <w:color w:val="000000"/>
                <w:sz w:val="22"/>
                <w:szCs w:val="22"/>
              </w:rPr>
              <w:t>0,1 %</w:t>
            </w:r>
          </w:p>
        </w:tc>
      </w:tr>
      <w:tr w:rsidR="00EC5139" w:rsidRPr="00864AD4" w14:paraId="1BFA318D" w14:textId="77777777" w:rsidTr="000736FF">
        <w:trPr>
          <w:trHeight w:val="337"/>
        </w:trPr>
        <w:tc>
          <w:tcPr>
            <w:tcW w:w="3228" w:type="dxa"/>
            <w:tcBorders>
              <w:top w:val="nil"/>
              <w:left w:val="single" w:sz="8" w:space="0" w:color="auto"/>
              <w:bottom w:val="nil"/>
              <w:right w:val="nil"/>
            </w:tcBorders>
            <w:shd w:val="clear" w:color="auto" w:fill="auto"/>
            <w:noWrap/>
            <w:vAlign w:val="bottom"/>
            <w:hideMark/>
          </w:tcPr>
          <w:p w14:paraId="45085073"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É.-U.</w:t>
            </w:r>
          </w:p>
        </w:tc>
        <w:tc>
          <w:tcPr>
            <w:tcW w:w="1831" w:type="dxa"/>
            <w:tcBorders>
              <w:top w:val="nil"/>
              <w:left w:val="nil"/>
              <w:bottom w:val="nil"/>
              <w:right w:val="nil"/>
            </w:tcBorders>
            <w:shd w:val="clear" w:color="auto" w:fill="auto"/>
            <w:noWrap/>
            <w:vAlign w:val="bottom"/>
            <w:hideMark/>
          </w:tcPr>
          <w:p w14:paraId="6B032072" w14:textId="1D2678E3"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55 $ </w:t>
            </w:r>
          </w:p>
        </w:tc>
        <w:tc>
          <w:tcPr>
            <w:tcW w:w="1625" w:type="dxa"/>
            <w:tcBorders>
              <w:top w:val="nil"/>
              <w:left w:val="nil"/>
              <w:bottom w:val="nil"/>
              <w:right w:val="single" w:sz="8" w:space="0" w:color="auto"/>
            </w:tcBorders>
            <w:shd w:val="clear" w:color="auto" w:fill="auto"/>
            <w:noWrap/>
            <w:vAlign w:val="bottom"/>
            <w:hideMark/>
          </w:tcPr>
          <w:p w14:paraId="720098FE" w14:textId="2F912E61" w:rsidR="00EC5139" w:rsidRPr="00EC5139" w:rsidRDefault="00EC5139" w:rsidP="00EC5139">
            <w:pPr>
              <w:jc w:val="right"/>
              <w:rPr>
                <w:rFonts w:ascii="Arial" w:hAnsi="Arial" w:cs="Arial"/>
                <w:color w:val="000000"/>
                <w:sz w:val="22"/>
                <w:szCs w:val="22"/>
              </w:rPr>
            </w:pPr>
            <w:r>
              <w:rPr>
                <w:rFonts w:ascii="Arial" w:hAnsi="Arial"/>
                <w:color w:val="000000"/>
                <w:sz w:val="22"/>
                <w:szCs w:val="22"/>
              </w:rPr>
              <w:t>0,0 %</w:t>
            </w:r>
          </w:p>
        </w:tc>
      </w:tr>
      <w:tr w:rsidR="00EC5139" w:rsidRPr="00864AD4" w14:paraId="7E1D7196" w14:textId="77777777" w:rsidTr="000736FF">
        <w:trPr>
          <w:trHeight w:val="337"/>
        </w:trPr>
        <w:tc>
          <w:tcPr>
            <w:tcW w:w="3228" w:type="dxa"/>
            <w:tcBorders>
              <w:top w:val="nil"/>
              <w:left w:val="single" w:sz="8" w:space="0" w:color="auto"/>
              <w:bottom w:val="single" w:sz="4" w:space="0" w:color="auto"/>
              <w:right w:val="nil"/>
            </w:tcBorders>
            <w:shd w:val="clear" w:color="auto" w:fill="auto"/>
            <w:noWrap/>
            <w:vAlign w:val="bottom"/>
            <w:hideMark/>
          </w:tcPr>
          <w:p w14:paraId="684BA9A3" w14:textId="77777777" w:rsidR="00EC5139" w:rsidRPr="00216C30" w:rsidRDefault="00EC5139" w:rsidP="00EC5139">
            <w:pPr>
              <w:rPr>
                <w:rFonts w:ascii="Arial" w:hAnsi="Arial" w:cs="Arial"/>
                <w:color w:val="000000"/>
                <w:sz w:val="22"/>
                <w:szCs w:val="22"/>
              </w:rPr>
            </w:pPr>
            <w:r>
              <w:rPr>
                <w:rFonts w:ascii="Arial" w:hAnsi="Arial"/>
                <w:color w:val="000000"/>
                <w:sz w:val="22"/>
                <w:szCs w:val="22"/>
              </w:rPr>
              <w:t>Autre</w:t>
            </w:r>
          </w:p>
        </w:tc>
        <w:tc>
          <w:tcPr>
            <w:tcW w:w="1831" w:type="dxa"/>
            <w:tcBorders>
              <w:top w:val="nil"/>
              <w:left w:val="nil"/>
              <w:bottom w:val="single" w:sz="4" w:space="0" w:color="auto"/>
              <w:right w:val="nil"/>
            </w:tcBorders>
            <w:shd w:val="clear" w:color="auto" w:fill="auto"/>
            <w:noWrap/>
            <w:vAlign w:val="bottom"/>
            <w:hideMark/>
          </w:tcPr>
          <w:p w14:paraId="39B7D3FE" w14:textId="5B29EE28" w:rsidR="00EC5139" w:rsidRPr="00EC5139" w:rsidRDefault="00EC5139" w:rsidP="00EC5139">
            <w:pPr>
              <w:jc w:val="right"/>
              <w:rPr>
                <w:rFonts w:ascii="Arial" w:hAnsi="Arial" w:cs="Arial"/>
                <w:color w:val="000000"/>
                <w:sz w:val="22"/>
                <w:szCs w:val="22"/>
              </w:rPr>
            </w:pPr>
            <w:r>
              <w:rPr>
                <w:rFonts w:ascii="Arial" w:hAnsi="Arial"/>
                <w:color w:val="000000"/>
                <w:sz w:val="22"/>
                <w:szCs w:val="22"/>
              </w:rPr>
              <w:t xml:space="preserve">0 $ </w:t>
            </w:r>
          </w:p>
        </w:tc>
        <w:tc>
          <w:tcPr>
            <w:tcW w:w="1625" w:type="dxa"/>
            <w:tcBorders>
              <w:top w:val="nil"/>
              <w:left w:val="nil"/>
              <w:bottom w:val="single" w:sz="4" w:space="0" w:color="auto"/>
              <w:right w:val="single" w:sz="8" w:space="0" w:color="auto"/>
            </w:tcBorders>
            <w:shd w:val="clear" w:color="auto" w:fill="auto"/>
            <w:noWrap/>
            <w:vAlign w:val="bottom"/>
            <w:hideMark/>
          </w:tcPr>
          <w:p w14:paraId="5C4C81D3" w14:textId="59EFC9CD" w:rsidR="00EC5139" w:rsidRPr="00EC5139" w:rsidRDefault="00EC5139" w:rsidP="00EC5139">
            <w:pPr>
              <w:jc w:val="right"/>
              <w:rPr>
                <w:rFonts w:ascii="Arial" w:hAnsi="Arial" w:cs="Arial"/>
                <w:color w:val="000000"/>
                <w:sz w:val="22"/>
                <w:szCs w:val="22"/>
              </w:rPr>
            </w:pPr>
            <w:r>
              <w:rPr>
                <w:rFonts w:ascii="Arial" w:hAnsi="Arial"/>
                <w:color w:val="000000"/>
                <w:sz w:val="22"/>
                <w:szCs w:val="22"/>
              </w:rPr>
              <w:t>0,0 %</w:t>
            </w:r>
          </w:p>
        </w:tc>
      </w:tr>
      <w:tr w:rsidR="00EC5139" w:rsidRPr="00864AD4" w14:paraId="464EB1D4" w14:textId="77777777" w:rsidTr="000736FF">
        <w:trPr>
          <w:trHeight w:val="405"/>
        </w:trPr>
        <w:tc>
          <w:tcPr>
            <w:tcW w:w="3228" w:type="dxa"/>
            <w:tcBorders>
              <w:top w:val="nil"/>
              <w:left w:val="single" w:sz="8" w:space="0" w:color="auto"/>
              <w:bottom w:val="single" w:sz="8" w:space="0" w:color="auto"/>
              <w:right w:val="nil"/>
            </w:tcBorders>
            <w:shd w:val="clear" w:color="auto" w:fill="auto"/>
            <w:noWrap/>
            <w:vAlign w:val="bottom"/>
            <w:hideMark/>
          </w:tcPr>
          <w:p w14:paraId="4A9B83F3" w14:textId="77777777" w:rsidR="00EC5139" w:rsidRPr="00216C30" w:rsidRDefault="00EC5139" w:rsidP="00EC5139">
            <w:pPr>
              <w:rPr>
                <w:rFonts w:ascii="Arial" w:hAnsi="Arial" w:cs="Arial"/>
                <w:b/>
                <w:bCs/>
                <w:color w:val="000000"/>
                <w:sz w:val="22"/>
                <w:szCs w:val="22"/>
              </w:rPr>
            </w:pPr>
            <w:r>
              <w:rPr>
                <w:rFonts w:ascii="Arial" w:hAnsi="Arial"/>
                <w:b/>
                <w:bCs/>
                <w:color w:val="000000"/>
                <w:sz w:val="22"/>
                <w:szCs w:val="22"/>
              </w:rPr>
              <w:t>Total</w:t>
            </w:r>
            <w:r>
              <w:rPr>
                <w:rFonts w:ascii="Arial" w:hAnsi="Arial"/>
                <w:b/>
                <w:bCs/>
                <w:color w:val="000000"/>
                <w:sz w:val="22"/>
                <w:szCs w:val="22"/>
                <w:vertAlign w:val="superscript"/>
              </w:rPr>
              <w:t>1</w:t>
            </w:r>
          </w:p>
        </w:tc>
        <w:tc>
          <w:tcPr>
            <w:tcW w:w="1831" w:type="dxa"/>
            <w:tcBorders>
              <w:top w:val="nil"/>
              <w:left w:val="nil"/>
              <w:bottom w:val="single" w:sz="8" w:space="0" w:color="auto"/>
              <w:right w:val="nil"/>
            </w:tcBorders>
            <w:shd w:val="clear" w:color="auto" w:fill="auto"/>
            <w:noWrap/>
            <w:vAlign w:val="bottom"/>
            <w:hideMark/>
          </w:tcPr>
          <w:p w14:paraId="4B21CFE0" w14:textId="67F86F2F" w:rsidR="00EC5139" w:rsidRPr="00EC5139" w:rsidRDefault="00EC5139" w:rsidP="00EC5139">
            <w:pPr>
              <w:jc w:val="right"/>
              <w:rPr>
                <w:rFonts w:ascii="Arial" w:hAnsi="Arial" w:cs="Arial"/>
                <w:b/>
                <w:bCs/>
                <w:color w:val="000000"/>
                <w:sz w:val="22"/>
                <w:szCs w:val="22"/>
              </w:rPr>
            </w:pPr>
            <w:r>
              <w:rPr>
                <w:rFonts w:ascii="Arial" w:hAnsi="Arial"/>
                <w:b/>
                <w:bCs/>
                <w:color w:val="000000"/>
                <w:sz w:val="22"/>
                <w:szCs w:val="22"/>
              </w:rPr>
              <w:t xml:space="preserve">1 314 948 $ </w:t>
            </w:r>
          </w:p>
        </w:tc>
        <w:tc>
          <w:tcPr>
            <w:tcW w:w="1625" w:type="dxa"/>
            <w:tcBorders>
              <w:top w:val="nil"/>
              <w:left w:val="nil"/>
              <w:bottom w:val="single" w:sz="8" w:space="0" w:color="auto"/>
              <w:right w:val="single" w:sz="8" w:space="0" w:color="auto"/>
            </w:tcBorders>
            <w:shd w:val="clear" w:color="auto" w:fill="auto"/>
            <w:noWrap/>
            <w:vAlign w:val="bottom"/>
            <w:hideMark/>
          </w:tcPr>
          <w:p w14:paraId="6B30B2F8" w14:textId="4AD43846" w:rsidR="00EC5139" w:rsidRPr="00EC5139" w:rsidRDefault="00EC5139" w:rsidP="00EC5139">
            <w:pPr>
              <w:jc w:val="right"/>
              <w:rPr>
                <w:rFonts w:ascii="Arial" w:hAnsi="Arial" w:cs="Arial"/>
                <w:b/>
                <w:bCs/>
                <w:color w:val="000000"/>
                <w:sz w:val="22"/>
                <w:szCs w:val="22"/>
              </w:rPr>
            </w:pPr>
            <w:r>
              <w:rPr>
                <w:rFonts w:ascii="Arial" w:hAnsi="Arial"/>
                <w:b/>
                <w:bCs/>
                <w:color w:val="000000"/>
                <w:sz w:val="22"/>
                <w:szCs w:val="22"/>
              </w:rPr>
              <w:t>100,0 %</w:t>
            </w:r>
          </w:p>
        </w:tc>
      </w:tr>
    </w:tbl>
    <w:p w14:paraId="5408F4D8" w14:textId="77777777" w:rsidR="00631FE2" w:rsidRPr="00216C30" w:rsidRDefault="00631FE2" w:rsidP="00631FE2">
      <w:pPr>
        <w:rPr>
          <w:rFonts w:ascii="Arial" w:hAnsi="Arial" w:cs="Arial"/>
          <w:sz w:val="22"/>
        </w:rPr>
      </w:pPr>
      <w:r>
        <w:rPr>
          <w:rFonts w:ascii="Arial" w:hAnsi="Arial"/>
          <w:sz w:val="22"/>
        </w:rPr>
        <w:t>Remarque 1 : comme l’indique le rapport de la soumission réglementaire BH</w:t>
      </w:r>
    </w:p>
    <w:p w14:paraId="76A5F2B5" w14:textId="77777777" w:rsidR="00C71A47" w:rsidRPr="00780C43" w:rsidRDefault="00C71A47" w:rsidP="00631FE2">
      <w:pPr>
        <w:rPr>
          <w:rFonts w:ascii="Arial" w:hAnsi="Arial" w:cs="Arial"/>
          <w:sz w:val="22"/>
        </w:rPr>
      </w:pPr>
    </w:p>
    <w:p w14:paraId="575D0DB4" w14:textId="77777777" w:rsidR="00CF08D7" w:rsidRPr="00780C43" w:rsidRDefault="00CF08D7" w:rsidP="00631FE2">
      <w:pPr>
        <w:rPr>
          <w:rFonts w:ascii="Calibri" w:hAnsi="Calibri"/>
          <w:sz w:val="22"/>
        </w:rPr>
      </w:pPr>
    </w:p>
    <w:p w14:paraId="27E38749" w14:textId="77777777" w:rsidR="000A5113" w:rsidRPr="00780C43" w:rsidRDefault="000A5113" w:rsidP="00631FE2">
      <w:pPr>
        <w:rPr>
          <w:rFonts w:ascii="Calibri" w:hAnsi="Calibri"/>
          <w:sz w:val="22"/>
        </w:rPr>
      </w:pPr>
    </w:p>
    <w:p w14:paraId="5EC9CDA4" w14:textId="77777777" w:rsidR="000E39A9" w:rsidRPr="00216C30" w:rsidRDefault="005A134C" w:rsidP="00F0411C">
      <w:pPr>
        <w:pStyle w:val="Heading2"/>
        <w:ind w:left="0"/>
        <w:jc w:val="left"/>
        <w:rPr>
          <w:rFonts w:ascii="Arial" w:hAnsi="Arial" w:cs="Arial"/>
          <w:i w:val="0"/>
        </w:rPr>
      </w:pPr>
      <w:bookmarkStart w:id="33" w:name="_Toc514152871"/>
      <w:bookmarkStart w:id="34" w:name="_Toc39172710"/>
      <w:r>
        <w:rPr>
          <w:rFonts w:ascii="Arial" w:hAnsi="Arial"/>
          <w:i w:val="0"/>
        </w:rPr>
        <w:lastRenderedPageBreak/>
        <w:t>ALLOCATION POUR PERTES SUR CRÉANCE</w:t>
      </w:r>
      <w:bookmarkEnd w:id="33"/>
      <w:bookmarkEnd w:id="34"/>
    </w:p>
    <w:p w14:paraId="7EE2E969" w14:textId="77777777" w:rsidR="000E39A9" w:rsidRPr="00780C43" w:rsidRDefault="000E39A9" w:rsidP="000E39A9">
      <w:pPr>
        <w:rPr>
          <w:rFonts w:ascii="Arial" w:hAnsi="Arial" w:cs="Arial"/>
          <w:b/>
        </w:rPr>
      </w:pPr>
    </w:p>
    <w:p w14:paraId="6221635E" w14:textId="77777777" w:rsidR="00224F94" w:rsidRPr="00216C30" w:rsidRDefault="00224F94" w:rsidP="00224F94">
      <w:pPr>
        <w:rPr>
          <w:rFonts w:ascii="Arial" w:hAnsi="Arial" w:cs="Arial"/>
        </w:rPr>
      </w:pPr>
    </w:p>
    <w:p w14:paraId="35EE01AA" w14:textId="588420B2" w:rsidR="00224F94" w:rsidRPr="00216C30" w:rsidRDefault="00CD5090" w:rsidP="009F5117">
      <w:pPr>
        <w:rPr>
          <w:rFonts w:ascii="Arial" w:hAnsi="Arial" w:cs="Arial"/>
        </w:rPr>
      </w:pPr>
      <w:r>
        <w:rPr>
          <w:rFonts w:ascii="Arial" w:hAnsi="Arial"/>
        </w:rPr>
        <w:t>La provision pour pertes sur cartes de crédit est établie au moyen du modèle de pertes sur créances attendues (« ECL</w:t>
      </w:r>
      <w:r w:rsidR="00263E65">
        <w:rPr>
          <w:rFonts w:ascii="Arial" w:hAnsi="Arial"/>
        </w:rPr>
        <w:t xml:space="preserve"> </w:t>
      </w:r>
      <w:r>
        <w:rPr>
          <w:rFonts w:ascii="Arial" w:hAnsi="Arial"/>
        </w:rPr>
        <w:t>») conformément à la norme IFRS 9. Les prêts sur cartes de crédit sont évalués individuellement pour déterminer l’allocation appropriée. La provision cumulative pour pertes sur créances est maintenue à un niveau que la direction estime approprié pour couvrir les pertes sur créances estimatives désignées dans le portefeuille. Le modèle ECL nécessite un jugement considérable, y compris l’utilisation de prévisions macroéconomiques dans plusieurs des scénarios de croissance.</w:t>
      </w:r>
    </w:p>
    <w:p w14:paraId="06C29B8C" w14:textId="77777777" w:rsidR="00DD7B40" w:rsidRPr="00216C30" w:rsidRDefault="00DD7B40" w:rsidP="009F5117">
      <w:pPr>
        <w:rPr>
          <w:rFonts w:ascii="Arial" w:hAnsi="Arial" w:cs="Arial"/>
        </w:rPr>
      </w:pPr>
    </w:p>
    <w:p w14:paraId="72D5F397" w14:textId="77777777" w:rsidR="00DD7B40" w:rsidRPr="00216C30" w:rsidRDefault="00DD7B40" w:rsidP="009F5117">
      <w:pPr>
        <w:rPr>
          <w:rFonts w:ascii="Arial" w:hAnsi="Arial" w:cs="Arial"/>
        </w:rPr>
      </w:pPr>
      <w:r>
        <w:rPr>
          <w:rFonts w:ascii="Arial" w:hAnsi="Arial"/>
        </w:rPr>
        <w:t>Les prêts sur cartes de crédit sont douteux lorsqu’il y a des preuves objectives que la qualité du crédit se détériore au point qu’il n’y a plus d’assurance raisonnable de percevoir un jour le montant total du capital et des intérêts.  Les soldes de cartes de crédit sont radiés lorsqu’un paiement est en souffrance depuis 180 jours.</w:t>
      </w:r>
    </w:p>
    <w:p w14:paraId="14EEEEBB" w14:textId="77777777" w:rsidR="00224F94" w:rsidRPr="00216C30" w:rsidRDefault="00224F94" w:rsidP="00224F94">
      <w:pPr>
        <w:rPr>
          <w:rFonts w:ascii="Arial" w:hAnsi="Arial" w:cs="Arial"/>
        </w:rPr>
      </w:pPr>
    </w:p>
    <w:p w14:paraId="2D492D9D" w14:textId="77777777" w:rsidR="00224F94" w:rsidRPr="00780C43" w:rsidRDefault="00224F94" w:rsidP="00224F94">
      <w:pPr>
        <w:rPr>
          <w:rFonts w:ascii="Arial" w:hAnsi="Arial" w:cs="Arial"/>
        </w:rPr>
      </w:pPr>
    </w:p>
    <w:p w14:paraId="6B67A3EB" w14:textId="77777777" w:rsidR="005C0068" w:rsidRPr="00216C30" w:rsidRDefault="0015331B" w:rsidP="00813F71">
      <w:pPr>
        <w:rPr>
          <w:rFonts w:ascii="Arial" w:hAnsi="Arial" w:cs="Arial"/>
        </w:rPr>
      </w:pPr>
      <w:r>
        <w:rPr>
          <w:rFonts w:ascii="Arial" w:hAnsi="Arial"/>
        </w:rPr>
        <w:t>Le tableau suivant présente les changements apportés à la provision pour pertes sur créances au cours du trimestre :</w:t>
      </w:r>
    </w:p>
    <w:p w14:paraId="02085DF2" w14:textId="77777777" w:rsidR="00C50ED8" w:rsidRPr="00780C43" w:rsidRDefault="00C50ED8" w:rsidP="00224F94">
      <w:pPr>
        <w:rPr>
          <w:rFonts w:ascii="Arial" w:hAnsi="Arial" w:cs="Arial"/>
        </w:rPr>
      </w:pPr>
    </w:p>
    <w:p w14:paraId="1608ABDD" w14:textId="77777777" w:rsidR="00C50ED8" w:rsidRPr="00780C43" w:rsidRDefault="00C50ED8" w:rsidP="00224F94">
      <w:pPr>
        <w:rPr>
          <w:rFonts w:ascii="Arial" w:hAnsi="Arial" w:cs="Arial"/>
        </w:rPr>
      </w:pPr>
    </w:p>
    <w:tbl>
      <w:tblPr>
        <w:tblW w:w="9000" w:type="dxa"/>
        <w:tblInd w:w="108" w:type="dxa"/>
        <w:tblLook w:val="04A0" w:firstRow="1" w:lastRow="0" w:firstColumn="1" w:lastColumn="0" w:noHBand="0" w:noVBand="1"/>
      </w:tblPr>
      <w:tblGrid>
        <w:gridCol w:w="5364"/>
        <w:gridCol w:w="222"/>
        <w:gridCol w:w="1556"/>
        <w:gridCol w:w="1858"/>
      </w:tblGrid>
      <w:tr w:rsidR="009070B6" w:rsidRPr="00864AD4" w14:paraId="67AC15AA" w14:textId="77777777" w:rsidTr="00F231A4">
        <w:trPr>
          <w:trHeight w:val="300"/>
        </w:trPr>
        <w:tc>
          <w:tcPr>
            <w:tcW w:w="5586" w:type="dxa"/>
            <w:gridSpan w:val="2"/>
            <w:tcBorders>
              <w:top w:val="nil"/>
              <w:left w:val="nil"/>
              <w:bottom w:val="nil"/>
              <w:right w:val="nil"/>
            </w:tcBorders>
            <w:shd w:val="clear" w:color="auto" w:fill="auto"/>
            <w:noWrap/>
            <w:vAlign w:val="bottom"/>
            <w:hideMark/>
          </w:tcPr>
          <w:p w14:paraId="65B5F170" w14:textId="77777777" w:rsidR="009070B6" w:rsidRPr="00216C30" w:rsidRDefault="009070B6" w:rsidP="00C50ED8">
            <w:pPr>
              <w:jc w:val="left"/>
              <w:rPr>
                <w:rFonts w:ascii="Arial" w:hAnsi="Arial" w:cs="Arial"/>
                <w:color w:val="000000"/>
                <w:sz w:val="22"/>
                <w:szCs w:val="22"/>
              </w:rPr>
            </w:pPr>
            <w:r>
              <w:rPr>
                <w:rFonts w:ascii="Arial" w:hAnsi="Arial"/>
                <w:color w:val="000000"/>
                <w:sz w:val="22"/>
                <w:szCs w:val="22"/>
              </w:rPr>
              <w:t>Provision pour pertes sur créances au début du trimestre</w:t>
            </w:r>
          </w:p>
        </w:tc>
        <w:tc>
          <w:tcPr>
            <w:tcW w:w="1556" w:type="dxa"/>
            <w:tcBorders>
              <w:top w:val="nil"/>
              <w:left w:val="nil"/>
              <w:bottom w:val="nil"/>
              <w:right w:val="nil"/>
            </w:tcBorders>
            <w:shd w:val="clear" w:color="auto" w:fill="auto"/>
            <w:noWrap/>
            <w:vAlign w:val="bottom"/>
            <w:hideMark/>
          </w:tcPr>
          <w:p w14:paraId="0FFC305B" w14:textId="77777777" w:rsidR="009070B6" w:rsidRPr="00780C43" w:rsidRDefault="009070B6" w:rsidP="00C50ED8">
            <w:pPr>
              <w:jc w:val="left"/>
              <w:rPr>
                <w:rFonts w:ascii="Arial" w:hAnsi="Arial" w:cs="Arial"/>
                <w:color w:val="000000"/>
                <w:sz w:val="22"/>
                <w:szCs w:val="22"/>
                <w:lang w:eastAsia="en-US"/>
              </w:rPr>
            </w:pPr>
          </w:p>
        </w:tc>
        <w:tc>
          <w:tcPr>
            <w:tcW w:w="1736" w:type="dxa"/>
            <w:tcBorders>
              <w:top w:val="nil"/>
              <w:left w:val="nil"/>
              <w:bottom w:val="nil"/>
              <w:right w:val="nil"/>
            </w:tcBorders>
            <w:shd w:val="clear" w:color="auto" w:fill="auto"/>
            <w:noWrap/>
            <w:vAlign w:val="bottom"/>
            <w:hideMark/>
          </w:tcPr>
          <w:p w14:paraId="58D7BE4B" w14:textId="4551BA81" w:rsidR="009070B6" w:rsidRPr="00216C30" w:rsidRDefault="009070B6" w:rsidP="000A5113">
            <w:pPr>
              <w:jc w:val="right"/>
              <w:rPr>
                <w:rFonts w:ascii="Arial" w:hAnsi="Arial" w:cs="Arial"/>
                <w:color w:val="000000"/>
                <w:sz w:val="22"/>
                <w:szCs w:val="22"/>
              </w:rPr>
            </w:pPr>
            <w:r>
              <w:rPr>
                <w:rFonts w:ascii="Arial" w:hAnsi="Arial"/>
                <w:bCs/>
                <w:color w:val="000000"/>
                <w:sz w:val="22"/>
                <w:szCs w:val="22"/>
              </w:rPr>
              <w:t>164 897</w:t>
            </w:r>
            <w:r>
              <w:rPr>
                <w:rFonts w:ascii="Arial" w:hAnsi="Arial"/>
                <w:color w:val="000000"/>
                <w:sz w:val="22"/>
                <w:szCs w:val="22"/>
              </w:rPr>
              <w:t>$</w:t>
            </w:r>
          </w:p>
        </w:tc>
      </w:tr>
      <w:tr w:rsidR="009070B6" w:rsidRPr="00864AD4" w14:paraId="18772AA3" w14:textId="77777777" w:rsidTr="00F231A4">
        <w:trPr>
          <w:trHeight w:val="300"/>
        </w:trPr>
        <w:tc>
          <w:tcPr>
            <w:tcW w:w="5364" w:type="dxa"/>
            <w:tcBorders>
              <w:top w:val="nil"/>
              <w:left w:val="nil"/>
              <w:bottom w:val="nil"/>
              <w:right w:val="nil"/>
            </w:tcBorders>
            <w:shd w:val="clear" w:color="auto" w:fill="auto"/>
            <w:noWrap/>
            <w:vAlign w:val="bottom"/>
            <w:hideMark/>
          </w:tcPr>
          <w:p w14:paraId="4FC81377" w14:textId="77777777" w:rsidR="009070B6" w:rsidRPr="00216C30" w:rsidRDefault="009070B6" w:rsidP="00C50ED8">
            <w:pPr>
              <w:jc w:val="left"/>
              <w:rPr>
                <w:rFonts w:ascii="Arial" w:hAnsi="Arial" w:cs="Arial"/>
                <w:color w:val="000000"/>
                <w:sz w:val="22"/>
                <w:szCs w:val="22"/>
              </w:rPr>
            </w:pPr>
            <w:r>
              <w:rPr>
                <w:rFonts w:ascii="Arial" w:hAnsi="Arial"/>
                <w:color w:val="000000"/>
                <w:sz w:val="22"/>
                <w:szCs w:val="22"/>
              </w:rPr>
              <w:t>Provision pour pertes sur cartes de crédit</w:t>
            </w:r>
          </w:p>
        </w:tc>
        <w:tc>
          <w:tcPr>
            <w:tcW w:w="222" w:type="dxa"/>
            <w:tcBorders>
              <w:top w:val="nil"/>
              <w:left w:val="nil"/>
              <w:bottom w:val="nil"/>
              <w:right w:val="nil"/>
            </w:tcBorders>
            <w:shd w:val="clear" w:color="auto" w:fill="auto"/>
            <w:noWrap/>
            <w:vAlign w:val="bottom"/>
            <w:hideMark/>
          </w:tcPr>
          <w:p w14:paraId="499FADF9" w14:textId="77777777" w:rsidR="009070B6" w:rsidRPr="00780C43" w:rsidRDefault="009070B6" w:rsidP="00C50ED8">
            <w:pPr>
              <w:jc w:val="left"/>
              <w:rPr>
                <w:rFonts w:ascii="Arial" w:hAnsi="Arial" w:cs="Arial"/>
                <w:color w:val="000000"/>
                <w:sz w:val="22"/>
                <w:szCs w:val="22"/>
                <w:lang w:eastAsia="en-US"/>
              </w:rPr>
            </w:pPr>
          </w:p>
        </w:tc>
        <w:tc>
          <w:tcPr>
            <w:tcW w:w="1556" w:type="dxa"/>
            <w:tcBorders>
              <w:top w:val="nil"/>
              <w:left w:val="nil"/>
              <w:bottom w:val="nil"/>
              <w:right w:val="nil"/>
            </w:tcBorders>
            <w:shd w:val="clear" w:color="auto" w:fill="auto"/>
            <w:noWrap/>
            <w:vAlign w:val="bottom"/>
          </w:tcPr>
          <w:p w14:paraId="0DE1F8F6" w14:textId="77777777" w:rsidR="009070B6" w:rsidRPr="00216C30" w:rsidRDefault="009070B6">
            <w:pPr>
              <w:jc w:val="right"/>
              <w:rPr>
                <w:rFonts w:ascii="Arial" w:hAnsi="Arial" w:cs="Arial"/>
                <w:color w:val="000000"/>
                <w:sz w:val="22"/>
                <w:szCs w:val="22"/>
              </w:rPr>
            </w:pPr>
          </w:p>
        </w:tc>
        <w:tc>
          <w:tcPr>
            <w:tcW w:w="1736" w:type="dxa"/>
            <w:tcBorders>
              <w:top w:val="nil"/>
              <w:left w:val="nil"/>
              <w:bottom w:val="nil"/>
              <w:right w:val="nil"/>
            </w:tcBorders>
            <w:shd w:val="clear" w:color="auto" w:fill="auto"/>
            <w:noWrap/>
            <w:vAlign w:val="bottom"/>
            <w:hideMark/>
          </w:tcPr>
          <w:p w14:paraId="31189E21" w14:textId="6B6CB7DC" w:rsidR="009070B6" w:rsidRPr="00216C30" w:rsidRDefault="009070B6" w:rsidP="007D75EB">
            <w:pPr>
              <w:jc w:val="right"/>
              <w:rPr>
                <w:rFonts w:ascii="Arial" w:hAnsi="Arial" w:cs="Arial"/>
                <w:color w:val="000000"/>
                <w:sz w:val="22"/>
                <w:szCs w:val="22"/>
              </w:rPr>
            </w:pPr>
            <w:r>
              <w:rPr>
                <w:rFonts w:ascii="Arial" w:hAnsi="Arial"/>
                <w:color w:val="000000"/>
                <w:sz w:val="22"/>
                <w:szCs w:val="22"/>
              </w:rPr>
              <w:t xml:space="preserve">33 848 $ </w:t>
            </w:r>
          </w:p>
        </w:tc>
      </w:tr>
      <w:tr w:rsidR="007D75EB" w:rsidRPr="00864AD4" w14:paraId="180BC642" w14:textId="77777777" w:rsidTr="00F231A4">
        <w:trPr>
          <w:trHeight w:val="300"/>
        </w:trPr>
        <w:tc>
          <w:tcPr>
            <w:tcW w:w="5364" w:type="dxa"/>
            <w:tcBorders>
              <w:top w:val="nil"/>
              <w:left w:val="nil"/>
              <w:bottom w:val="nil"/>
              <w:right w:val="nil"/>
            </w:tcBorders>
            <w:shd w:val="clear" w:color="auto" w:fill="auto"/>
            <w:noWrap/>
            <w:vAlign w:val="bottom"/>
            <w:hideMark/>
          </w:tcPr>
          <w:p w14:paraId="2EAB701B" w14:textId="77777777" w:rsidR="007D75EB" w:rsidRPr="00216C30" w:rsidRDefault="007D75EB" w:rsidP="00C50ED8">
            <w:pPr>
              <w:jc w:val="left"/>
              <w:rPr>
                <w:rFonts w:ascii="Arial" w:hAnsi="Arial" w:cs="Arial"/>
                <w:color w:val="000000"/>
                <w:sz w:val="22"/>
                <w:szCs w:val="22"/>
              </w:rPr>
            </w:pPr>
            <w:r>
              <w:rPr>
                <w:rFonts w:ascii="Arial" w:hAnsi="Arial"/>
                <w:color w:val="000000"/>
                <w:sz w:val="22"/>
                <w:szCs w:val="22"/>
              </w:rPr>
              <w:t>Recouvrements</w:t>
            </w:r>
          </w:p>
        </w:tc>
        <w:tc>
          <w:tcPr>
            <w:tcW w:w="222" w:type="dxa"/>
            <w:tcBorders>
              <w:top w:val="nil"/>
              <w:left w:val="nil"/>
              <w:bottom w:val="nil"/>
              <w:right w:val="nil"/>
            </w:tcBorders>
            <w:shd w:val="clear" w:color="auto" w:fill="auto"/>
            <w:noWrap/>
            <w:vAlign w:val="bottom"/>
            <w:hideMark/>
          </w:tcPr>
          <w:p w14:paraId="01F87AD4" w14:textId="77777777" w:rsidR="007D75EB" w:rsidRPr="00216C30" w:rsidRDefault="007D75EB" w:rsidP="00C50ED8">
            <w:pPr>
              <w:jc w:val="left"/>
              <w:rPr>
                <w:rFonts w:ascii="Arial" w:hAnsi="Arial" w:cs="Arial"/>
                <w:color w:val="000000"/>
                <w:sz w:val="22"/>
                <w:szCs w:val="22"/>
                <w:lang w:val="en-US" w:eastAsia="en-US"/>
              </w:rPr>
            </w:pPr>
          </w:p>
        </w:tc>
        <w:tc>
          <w:tcPr>
            <w:tcW w:w="1556" w:type="dxa"/>
            <w:tcBorders>
              <w:top w:val="nil"/>
              <w:left w:val="nil"/>
              <w:bottom w:val="nil"/>
              <w:right w:val="nil"/>
            </w:tcBorders>
            <w:shd w:val="clear" w:color="auto" w:fill="auto"/>
            <w:noWrap/>
            <w:vAlign w:val="bottom"/>
          </w:tcPr>
          <w:p w14:paraId="348CC147" w14:textId="77777777" w:rsidR="007D75EB" w:rsidRPr="00216C30" w:rsidRDefault="007D75EB">
            <w:pPr>
              <w:jc w:val="right"/>
              <w:rPr>
                <w:rFonts w:ascii="Arial" w:hAnsi="Arial" w:cs="Arial"/>
                <w:color w:val="000000"/>
                <w:sz w:val="22"/>
                <w:szCs w:val="22"/>
              </w:rPr>
            </w:pPr>
          </w:p>
        </w:tc>
        <w:tc>
          <w:tcPr>
            <w:tcW w:w="1736" w:type="dxa"/>
            <w:tcBorders>
              <w:top w:val="nil"/>
              <w:left w:val="nil"/>
              <w:bottom w:val="nil"/>
              <w:right w:val="nil"/>
            </w:tcBorders>
            <w:shd w:val="clear" w:color="auto" w:fill="auto"/>
            <w:noWrap/>
            <w:vAlign w:val="bottom"/>
            <w:hideMark/>
          </w:tcPr>
          <w:p w14:paraId="16DF855C" w14:textId="44D65A53" w:rsidR="007D75EB" w:rsidRPr="00216C30" w:rsidRDefault="007D75EB">
            <w:pPr>
              <w:jc w:val="right"/>
              <w:rPr>
                <w:rFonts w:ascii="Arial" w:hAnsi="Arial" w:cs="Arial"/>
                <w:color w:val="000000"/>
                <w:sz w:val="22"/>
                <w:szCs w:val="22"/>
              </w:rPr>
            </w:pPr>
            <w:r>
              <w:rPr>
                <w:rFonts w:ascii="Arial" w:hAnsi="Arial"/>
                <w:color w:val="000000"/>
                <w:sz w:val="22"/>
                <w:szCs w:val="22"/>
              </w:rPr>
              <w:t xml:space="preserve">4 366 $ </w:t>
            </w:r>
          </w:p>
        </w:tc>
      </w:tr>
      <w:tr w:rsidR="007D75EB" w:rsidRPr="00864AD4" w14:paraId="4B13D27A" w14:textId="77777777" w:rsidTr="00F231A4">
        <w:trPr>
          <w:trHeight w:val="315"/>
        </w:trPr>
        <w:tc>
          <w:tcPr>
            <w:tcW w:w="5364" w:type="dxa"/>
            <w:tcBorders>
              <w:top w:val="nil"/>
              <w:left w:val="nil"/>
              <w:bottom w:val="nil"/>
              <w:right w:val="nil"/>
            </w:tcBorders>
            <w:shd w:val="clear" w:color="auto" w:fill="auto"/>
            <w:noWrap/>
            <w:vAlign w:val="bottom"/>
            <w:hideMark/>
          </w:tcPr>
          <w:p w14:paraId="16C18F6C" w14:textId="77777777" w:rsidR="007D75EB" w:rsidRPr="00216C30" w:rsidRDefault="007D75EB" w:rsidP="00C50ED8">
            <w:pPr>
              <w:jc w:val="left"/>
              <w:rPr>
                <w:rFonts w:ascii="Arial" w:hAnsi="Arial" w:cs="Arial"/>
                <w:color w:val="000000"/>
                <w:sz w:val="22"/>
                <w:szCs w:val="22"/>
              </w:rPr>
            </w:pPr>
            <w:r>
              <w:rPr>
                <w:rFonts w:ascii="Arial" w:hAnsi="Arial"/>
                <w:color w:val="000000"/>
                <w:sz w:val="22"/>
                <w:szCs w:val="22"/>
              </w:rPr>
              <w:t>Radiations</w:t>
            </w:r>
          </w:p>
        </w:tc>
        <w:tc>
          <w:tcPr>
            <w:tcW w:w="222" w:type="dxa"/>
            <w:tcBorders>
              <w:top w:val="nil"/>
              <w:left w:val="nil"/>
              <w:bottom w:val="nil"/>
              <w:right w:val="nil"/>
            </w:tcBorders>
            <w:shd w:val="clear" w:color="auto" w:fill="auto"/>
            <w:noWrap/>
            <w:vAlign w:val="bottom"/>
            <w:hideMark/>
          </w:tcPr>
          <w:p w14:paraId="1AA7D39D" w14:textId="77777777" w:rsidR="007D75EB" w:rsidRPr="00216C30" w:rsidRDefault="007D75EB" w:rsidP="00C50ED8">
            <w:pPr>
              <w:jc w:val="left"/>
              <w:rPr>
                <w:rFonts w:ascii="Arial" w:hAnsi="Arial" w:cs="Arial"/>
                <w:color w:val="000000"/>
                <w:sz w:val="22"/>
                <w:szCs w:val="22"/>
                <w:lang w:val="en-US" w:eastAsia="en-US"/>
              </w:rPr>
            </w:pPr>
          </w:p>
        </w:tc>
        <w:tc>
          <w:tcPr>
            <w:tcW w:w="1556" w:type="dxa"/>
            <w:tcBorders>
              <w:top w:val="nil"/>
              <w:left w:val="nil"/>
              <w:bottom w:val="nil"/>
              <w:right w:val="nil"/>
            </w:tcBorders>
            <w:shd w:val="clear" w:color="auto" w:fill="auto"/>
            <w:noWrap/>
            <w:vAlign w:val="bottom"/>
          </w:tcPr>
          <w:p w14:paraId="336DFC69" w14:textId="77777777" w:rsidR="007D75EB" w:rsidRPr="00216C30" w:rsidRDefault="007D75EB">
            <w:pPr>
              <w:jc w:val="right"/>
              <w:rPr>
                <w:rFonts w:ascii="Arial" w:hAnsi="Arial" w:cs="Arial"/>
                <w:color w:val="000000"/>
                <w:sz w:val="22"/>
                <w:szCs w:val="22"/>
              </w:rPr>
            </w:pPr>
          </w:p>
        </w:tc>
        <w:tc>
          <w:tcPr>
            <w:tcW w:w="1858" w:type="dxa"/>
            <w:tcBorders>
              <w:top w:val="nil"/>
              <w:left w:val="nil"/>
              <w:bottom w:val="nil"/>
              <w:right w:val="nil"/>
            </w:tcBorders>
            <w:shd w:val="clear" w:color="auto" w:fill="auto"/>
            <w:noWrap/>
            <w:vAlign w:val="bottom"/>
          </w:tcPr>
          <w:p w14:paraId="1D7921D6" w14:textId="2508A731" w:rsidR="007D75EB" w:rsidRPr="00216C30" w:rsidRDefault="007D75EB">
            <w:pPr>
              <w:jc w:val="right"/>
              <w:rPr>
                <w:rFonts w:ascii="Arial" w:hAnsi="Arial" w:cs="Arial"/>
                <w:color w:val="000000"/>
                <w:sz w:val="22"/>
                <w:szCs w:val="22"/>
              </w:rPr>
            </w:pPr>
            <w:r>
              <w:rPr>
                <w:rFonts w:ascii="Arial" w:hAnsi="Arial"/>
                <w:color w:val="000000"/>
                <w:sz w:val="22"/>
                <w:szCs w:val="22"/>
              </w:rPr>
              <w:t>(32 084 $)</w:t>
            </w:r>
          </w:p>
        </w:tc>
      </w:tr>
      <w:tr w:rsidR="009070B6" w:rsidRPr="00864AD4" w14:paraId="1FF0F57E" w14:textId="77777777" w:rsidTr="00F231A4">
        <w:trPr>
          <w:trHeight w:val="360"/>
        </w:trPr>
        <w:tc>
          <w:tcPr>
            <w:tcW w:w="5586" w:type="dxa"/>
            <w:gridSpan w:val="2"/>
            <w:tcBorders>
              <w:top w:val="single" w:sz="8" w:space="0" w:color="auto"/>
              <w:left w:val="nil"/>
              <w:bottom w:val="single" w:sz="8" w:space="0" w:color="auto"/>
              <w:right w:val="nil"/>
            </w:tcBorders>
            <w:shd w:val="clear" w:color="auto" w:fill="auto"/>
            <w:noWrap/>
            <w:vAlign w:val="bottom"/>
            <w:hideMark/>
          </w:tcPr>
          <w:p w14:paraId="527E73F3" w14:textId="77777777" w:rsidR="009070B6" w:rsidRPr="00216C30" w:rsidRDefault="009070B6" w:rsidP="00C50ED8">
            <w:pPr>
              <w:jc w:val="left"/>
              <w:rPr>
                <w:rFonts w:ascii="Arial" w:hAnsi="Arial" w:cs="Arial"/>
                <w:color w:val="000000"/>
                <w:sz w:val="22"/>
                <w:szCs w:val="22"/>
              </w:rPr>
            </w:pPr>
            <w:r>
              <w:rPr>
                <w:rFonts w:ascii="Arial" w:hAnsi="Arial"/>
                <w:color w:val="000000"/>
                <w:sz w:val="22"/>
                <w:szCs w:val="22"/>
              </w:rPr>
              <w:t>Provision pour pertes sur cartes de crédit à la fin du trimestre</w:t>
            </w:r>
            <w:r>
              <w:rPr>
                <w:rFonts w:ascii="Arial" w:hAnsi="Arial"/>
                <w:color w:val="000000"/>
                <w:sz w:val="22"/>
                <w:szCs w:val="22"/>
                <w:vertAlign w:val="superscript"/>
              </w:rPr>
              <w:t>1</w:t>
            </w:r>
          </w:p>
        </w:tc>
        <w:tc>
          <w:tcPr>
            <w:tcW w:w="1556" w:type="dxa"/>
            <w:tcBorders>
              <w:top w:val="single" w:sz="8" w:space="0" w:color="auto"/>
              <w:left w:val="nil"/>
              <w:bottom w:val="single" w:sz="8" w:space="0" w:color="auto"/>
              <w:right w:val="nil"/>
            </w:tcBorders>
            <w:shd w:val="clear" w:color="auto" w:fill="auto"/>
            <w:noWrap/>
            <w:vAlign w:val="bottom"/>
            <w:hideMark/>
          </w:tcPr>
          <w:p w14:paraId="5833251E" w14:textId="77777777" w:rsidR="009070B6" w:rsidRPr="00216C30" w:rsidRDefault="009070B6" w:rsidP="00C50ED8">
            <w:pPr>
              <w:jc w:val="left"/>
              <w:rPr>
                <w:rFonts w:ascii="Arial" w:hAnsi="Arial" w:cs="Arial"/>
                <w:color w:val="000000"/>
                <w:sz w:val="22"/>
                <w:szCs w:val="22"/>
              </w:rPr>
            </w:pPr>
            <w:r>
              <w:rPr>
                <w:rFonts w:ascii="Arial" w:hAnsi="Arial"/>
                <w:color w:val="000000"/>
                <w:sz w:val="22"/>
                <w:szCs w:val="22"/>
              </w:rPr>
              <w:t> </w:t>
            </w:r>
          </w:p>
        </w:tc>
        <w:tc>
          <w:tcPr>
            <w:tcW w:w="1736" w:type="dxa"/>
            <w:tcBorders>
              <w:top w:val="single" w:sz="8" w:space="0" w:color="auto"/>
              <w:left w:val="nil"/>
              <w:bottom w:val="single" w:sz="8" w:space="0" w:color="auto"/>
              <w:right w:val="nil"/>
            </w:tcBorders>
            <w:shd w:val="clear" w:color="auto" w:fill="auto"/>
            <w:noWrap/>
            <w:vAlign w:val="bottom"/>
            <w:hideMark/>
          </w:tcPr>
          <w:p w14:paraId="3D23C2B2" w14:textId="7DC3B4AF" w:rsidR="009070B6" w:rsidRPr="00216C30" w:rsidRDefault="009070B6" w:rsidP="007D75EB">
            <w:pPr>
              <w:jc w:val="right"/>
              <w:rPr>
                <w:rFonts w:ascii="Arial" w:hAnsi="Arial" w:cs="Arial"/>
                <w:b/>
                <w:bCs/>
                <w:color w:val="000000"/>
                <w:sz w:val="22"/>
                <w:szCs w:val="22"/>
              </w:rPr>
            </w:pPr>
            <w:r>
              <w:rPr>
                <w:rFonts w:ascii="Arial" w:hAnsi="Arial"/>
                <w:b/>
                <w:bCs/>
                <w:color w:val="000000"/>
                <w:sz w:val="22"/>
                <w:szCs w:val="22"/>
              </w:rPr>
              <w:t xml:space="preserve">171 028 $ </w:t>
            </w:r>
          </w:p>
        </w:tc>
      </w:tr>
    </w:tbl>
    <w:p w14:paraId="7A06998B" w14:textId="77777777" w:rsidR="00C50ED8" w:rsidRPr="00216C30" w:rsidRDefault="00C50ED8" w:rsidP="00224F94">
      <w:pPr>
        <w:rPr>
          <w:rFonts w:ascii="Arial" w:hAnsi="Arial" w:cs="Arial"/>
          <w:lang w:val="en-US"/>
        </w:rPr>
      </w:pPr>
    </w:p>
    <w:p w14:paraId="6A3D613B" w14:textId="77777777" w:rsidR="00CF08D7" w:rsidRPr="00216C30" w:rsidRDefault="0015331B" w:rsidP="00CF08D7">
      <w:pPr>
        <w:rPr>
          <w:rFonts w:ascii="Arial" w:hAnsi="Arial" w:cs="Arial"/>
          <w:sz w:val="22"/>
        </w:rPr>
      </w:pPr>
      <w:r>
        <w:rPr>
          <w:rFonts w:ascii="Arial" w:hAnsi="Arial"/>
          <w:sz w:val="22"/>
        </w:rPr>
        <w:t>Remarque 1 : comme l’indique le rapport de la soumission réglementaire C3</w:t>
      </w:r>
    </w:p>
    <w:p w14:paraId="4FC7F876" w14:textId="77777777" w:rsidR="00CF08D7" w:rsidRPr="00780C43" w:rsidRDefault="00CF08D7" w:rsidP="00224F94">
      <w:pPr>
        <w:rPr>
          <w:rFonts w:ascii="Arial" w:hAnsi="Arial" w:cs="Arial"/>
          <w:sz w:val="22"/>
        </w:rPr>
      </w:pPr>
    </w:p>
    <w:p w14:paraId="4593B383" w14:textId="77777777" w:rsidR="00DC2083" w:rsidRPr="00780C43" w:rsidRDefault="00DC2083" w:rsidP="00224F94"/>
    <w:p w14:paraId="4E5A90F7" w14:textId="77777777" w:rsidR="00DC2083" w:rsidRPr="00780C43" w:rsidRDefault="00DC2083" w:rsidP="00224F94"/>
    <w:p w14:paraId="03782E8C" w14:textId="77777777" w:rsidR="00DC2083" w:rsidRPr="00780C43" w:rsidRDefault="00DC2083" w:rsidP="00224F94"/>
    <w:p w14:paraId="349E6A08" w14:textId="77777777" w:rsidR="00DC2083" w:rsidRPr="00780C43" w:rsidRDefault="00DC2083" w:rsidP="00224F94"/>
    <w:p w14:paraId="3C567F16" w14:textId="77777777" w:rsidR="00DC2083" w:rsidRPr="00780C43" w:rsidRDefault="00DC2083" w:rsidP="00224F94"/>
    <w:p w14:paraId="5D564216" w14:textId="77777777" w:rsidR="00DC2083" w:rsidRPr="00780C43" w:rsidRDefault="00DC2083" w:rsidP="00224F94"/>
    <w:p w14:paraId="513230B0" w14:textId="77777777" w:rsidR="00DC2083" w:rsidRPr="00780C43" w:rsidRDefault="00DC2083" w:rsidP="00224F94"/>
    <w:p w14:paraId="0D82C2F5" w14:textId="77777777" w:rsidR="00AE66C5" w:rsidRPr="00780C43" w:rsidRDefault="00AE66C5" w:rsidP="00224F94"/>
    <w:p w14:paraId="6C7DDD82" w14:textId="77777777" w:rsidR="00AE66C5" w:rsidRPr="00780C43" w:rsidRDefault="00AE66C5" w:rsidP="00224F94"/>
    <w:p w14:paraId="33A7C062" w14:textId="77777777" w:rsidR="00AE66C5" w:rsidRPr="00780C43" w:rsidRDefault="00AE66C5" w:rsidP="00224F94"/>
    <w:p w14:paraId="458C48B1" w14:textId="77777777" w:rsidR="000736FF" w:rsidRPr="00780C43" w:rsidRDefault="000736FF" w:rsidP="00224F94"/>
    <w:p w14:paraId="31CD8704" w14:textId="77777777" w:rsidR="000736FF" w:rsidRPr="00780C43" w:rsidRDefault="000736FF" w:rsidP="00224F94"/>
    <w:p w14:paraId="34C180B1" w14:textId="77777777" w:rsidR="007E1AB7" w:rsidRPr="00780C43" w:rsidRDefault="007E1AB7" w:rsidP="00224F94"/>
    <w:p w14:paraId="7E72D0C7" w14:textId="77777777" w:rsidR="00DC2083" w:rsidRPr="00780C43" w:rsidRDefault="00DC2083" w:rsidP="00224F94"/>
    <w:p w14:paraId="15C05144" w14:textId="77777777" w:rsidR="00DC2083" w:rsidRPr="00780C43" w:rsidRDefault="00DC2083" w:rsidP="00224F94"/>
    <w:p w14:paraId="0DFA51A2" w14:textId="77777777" w:rsidR="00B25ABB" w:rsidRPr="00216C30" w:rsidRDefault="00DC2083" w:rsidP="00F0411C">
      <w:pPr>
        <w:pStyle w:val="Heading2"/>
        <w:ind w:left="0"/>
        <w:jc w:val="left"/>
        <w:rPr>
          <w:rFonts w:ascii="Arial" w:hAnsi="Arial" w:cs="Arial"/>
          <w:b w:val="0"/>
        </w:rPr>
      </w:pPr>
      <w:bookmarkStart w:id="35" w:name="_Toc514152872"/>
      <w:bookmarkStart w:id="36" w:name="_Toc39172711"/>
      <w:r>
        <w:rPr>
          <w:rFonts w:ascii="Arial" w:hAnsi="Arial"/>
          <w:i w:val="0"/>
        </w:rPr>
        <w:lastRenderedPageBreak/>
        <w:t>DÉLCARATION AU SUJET DES PORTEFEUILLES EN VERTU DE L’APPROCHE NORMALISÉE</w:t>
      </w:r>
      <w:bookmarkEnd w:id="35"/>
      <w:bookmarkEnd w:id="36"/>
    </w:p>
    <w:p w14:paraId="571A629B" w14:textId="77777777" w:rsidR="00B25ABB" w:rsidRPr="00216C30" w:rsidRDefault="009B06B3" w:rsidP="00DC2083">
      <w:pPr>
        <w:rPr>
          <w:rFonts w:ascii="Arial" w:hAnsi="Arial" w:cs="Arial"/>
        </w:rPr>
      </w:pPr>
      <w:r>
        <w:rPr>
          <w:rFonts w:ascii="Arial" w:hAnsi="Arial"/>
        </w:rPr>
        <w:t>La Banque investit dans des valeurs émises par le gouvernement, des dépôts à terme et des placements temporaires d'institutions financières réglementées.</w:t>
      </w:r>
    </w:p>
    <w:p w14:paraId="2A45BB56" w14:textId="77777777" w:rsidR="00813F71" w:rsidRPr="00780C43" w:rsidRDefault="00813F71" w:rsidP="00DC2083">
      <w:pPr>
        <w:rPr>
          <w:rFonts w:ascii="Arial" w:hAnsi="Arial" w:cs="Arial"/>
        </w:rPr>
      </w:pPr>
    </w:p>
    <w:tbl>
      <w:tblPr>
        <w:tblW w:w="7578" w:type="dxa"/>
        <w:tblInd w:w="89" w:type="dxa"/>
        <w:tblLook w:val="04A0" w:firstRow="1" w:lastRow="0" w:firstColumn="1" w:lastColumn="0" w:noHBand="0" w:noVBand="1"/>
      </w:tblPr>
      <w:tblGrid>
        <w:gridCol w:w="2827"/>
        <w:gridCol w:w="1604"/>
        <w:gridCol w:w="1423"/>
        <w:gridCol w:w="1724"/>
      </w:tblGrid>
      <w:tr w:rsidR="00813F71" w:rsidRPr="00864AD4" w14:paraId="75E415B7" w14:textId="77777777" w:rsidTr="00813F71">
        <w:trPr>
          <w:trHeight w:val="347"/>
        </w:trPr>
        <w:tc>
          <w:tcPr>
            <w:tcW w:w="2827" w:type="dxa"/>
            <w:tcBorders>
              <w:top w:val="single" w:sz="4" w:space="0" w:color="auto"/>
              <w:left w:val="single" w:sz="4" w:space="0" w:color="auto"/>
              <w:bottom w:val="nil"/>
              <w:right w:val="nil"/>
            </w:tcBorders>
            <w:shd w:val="clear" w:color="auto" w:fill="auto"/>
            <w:noWrap/>
            <w:vAlign w:val="bottom"/>
            <w:hideMark/>
          </w:tcPr>
          <w:p w14:paraId="5030A2B7" w14:textId="77777777" w:rsidR="00813F71" w:rsidRPr="00216C30" w:rsidRDefault="00813F71" w:rsidP="00813F71">
            <w:pPr>
              <w:jc w:val="left"/>
              <w:rPr>
                <w:rFonts w:ascii="Arial" w:hAnsi="Arial" w:cs="Arial"/>
                <w:color w:val="000000"/>
                <w:sz w:val="22"/>
                <w:szCs w:val="22"/>
              </w:rPr>
            </w:pPr>
            <w:r>
              <w:rPr>
                <w:rFonts w:ascii="Arial" w:hAnsi="Arial"/>
                <w:color w:val="000000"/>
                <w:sz w:val="22"/>
                <w:szCs w:val="22"/>
              </w:rPr>
              <w:t> </w:t>
            </w:r>
          </w:p>
        </w:tc>
        <w:tc>
          <w:tcPr>
            <w:tcW w:w="1604" w:type="dxa"/>
            <w:tcBorders>
              <w:top w:val="single" w:sz="4" w:space="0" w:color="auto"/>
              <w:left w:val="nil"/>
              <w:bottom w:val="nil"/>
              <w:right w:val="nil"/>
            </w:tcBorders>
            <w:shd w:val="clear" w:color="auto" w:fill="auto"/>
            <w:noWrap/>
            <w:vAlign w:val="bottom"/>
            <w:hideMark/>
          </w:tcPr>
          <w:p w14:paraId="74DF2377" w14:textId="77777777" w:rsidR="00813F71" w:rsidRPr="00216C30" w:rsidRDefault="00813F71" w:rsidP="00813F71">
            <w:pPr>
              <w:jc w:val="left"/>
              <w:rPr>
                <w:rFonts w:ascii="Arial" w:hAnsi="Arial" w:cs="Arial"/>
                <w:color w:val="000000"/>
                <w:sz w:val="22"/>
                <w:szCs w:val="22"/>
              </w:rPr>
            </w:pPr>
            <w:r>
              <w:rPr>
                <w:rFonts w:ascii="Arial" w:hAnsi="Arial"/>
                <w:color w:val="000000"/>
                <w:sz w:val="22"/>
                <w:szCs w:val="22"/>
              </w:rPr>
              <w:t> </w:t>
            </w:r>
          </w:p>
        </w:tc>
        <w:tc>
          <w:tcPr>
            <w:tcW w:w="1423" w:type="dxa"/>
            <w:tcBorders>
              <w:top w:val="single" w:sz="4" w:space="0" w:color="auto"/>
              <w:left w:val="nil"/>
              <w:bottom w:val="nil"/>
              <w:right w:val="nil"/>
            </w:tcBorders>
            <w:shd w:val="clear" w:color="auto" w:fill="auto"/>
            <w:noWrap/>
            <w:vAlign w:val="bottom"/>
            <w:hideMark/>
          </w:tcPr>
          <w:p w14:paraId="2F607608" w14:textId="77777777" w:rsidR="00813F71" w:rsidRPr="00216C30" w:rsidRDefault="00813F71" w:rsidP="00813F71">
            <w:pPr>
              <w:jc w:val="right"/>
              <w:rPr>
                <w:rFonts w:ascii="Arial" w:hAnsi="Arial" w:cs="Arial"/>
                <w:b/>
                <w:bCs/>
                <w:color w:val="000000"/>
                <w:sz w:val="22"/>
                <w:szCs w:val="22"/>
              </w:rPr>
            </w:pPr>
            <w:r>
              <w:rPr>
                <w:rFonts w:ascii="Arial" w:hAnsi="Arial"/>
                <w:b/>
                <w:bCs/>
                <w:color w:val="000000"/>
                <w:sz w:val="22"/>
                <w:szCs w:val="22"/>
              </w:rPr>
              <w:t>Montant</w:t>
            </w:r>
          </w:p>
        </w:tc>
        <w:tc>
          <w:tcPr>
            <w:tcW w:w="1724" w:type="dxa"/>
            <w:tcBorders>
              <w:top w:val="single" w:sz="4" w:space="0" w:color="auto"/>
              <w:left w:val="nil"/>
              <w:bottom w:val="nil"/>
              <w:right w:val="single" w:sz="4" w:space="0" w:color="auto"/>
            </w:tcBorders>
            <w:shd w:val="clear" w:color="auto" w:fill="auto"/>
            <w:noWrap/>
            <w:vAlign w:val="bottom"/>
            <w:hideMark/>
          </w:tcPr>
          <w:p w14:paraId="229CD6AB" w14:textId="77777777" w:rsidR="00813F71" w:rsidRPr="00216C30" w:rsidRDefault="00813F71" w:rsidP="00813F71">
            <w:pPr>
              <w:jc w:val="right"/>
              <w:rPr>
                <w:rFonts w:ascii="Arial" w:hAnsi="Arial" w:cs="Arial"/>
                <w:b/>
                <w:bCs/>
                <w:color w:val="000000"/>
                <w:sz w:val="22"/>
                <w:szCs w:val="22"/>
              </w:rPr>
            </w:pPr>
            <w:proofErr w:type="gramStart"/>
            <w:r>
              <w:rPr>
                <w:rFonts w:ascii="Arial" w:hAnsi="Arial"/>
                <w:b/>
                <w:bCs/>
                <w:color w:val="000000"/>
                <w:sz w:val="22"/>
                <w:szCs w:val="22"/>
              </w:rPr>
              <w:t>Pondération  du</w:t>
            </w:r>
            <w:proofErr w:type="gramEnd"/>
            <w:r>
              <w:rPr>
                <w:rFonts w:ascii="Arial" w:hAnsi="Arial"/>
                <w:b/>
                <w:bCs/>
                <w:color w:val="000000"/>
                <w:sz w:val="22"/>
                <w:szCs w:val="22"/>
              </w:rPr>
              <w:t xml:space="preserve"> risque</w:t>
            </w:r>
          </w:p>
        </w:tc>
      </w:tr>
      <w:tr w:rsidR="000A5113" w:rsidRPr="00864AD4" w14:paraId="550FEACB" w14:textId="77777777" w:rsidTr="00813F71">
        <w:trPr>
          <w:trHeight w:val="347"/>
        </w:trPr>
        <w:tc>
          <w:tcPr>
            <w:tcW w:w="4431" w:type="dxa"/>
            <w:gridSpan w:val="2"/>
            <w:tcBorders>
              <w:top w:val="nil"/>
              <w:left w:val="single" w:sz="4" w:space="0" w:color="auto"/>
              <w:bottom w:val="nil"/>
              <w:right w:val="nil"/>
            </w:tcBorders>
            <w:shd w:val="clear" w:color="auto" w:fill="auto"/>
            <w:noWrap/>
            <w:vAlign w:val="bottom"/>
            <w:hideMark/>
          </w:tcPr>
          <w:p w14:paraId="4A220524" w14:textId="77777777" w:rsidR="000A5113" w:rsidRPr="00216C30" w:rsidRDefault="000A5113" w:rsidP="00813F71">
            <w:pPr>
              <w:jc w:val="left"/>
              <w:rPr>
                <w:rFonts w:ascii="Arial" w:hAnsi="Arial" w:cs="Arial"/>
                <w:color w:val="000000"/>
                <w:sz w:val="22"/>
                <w:szCs w:val="22"/>
              </w:rPr>
            </w:pPr>
            <w:r>
              <w:rPr>
                <w:rFonts w:ascii="Arial" w:hAnsi="Arial"/>
                <w:color w:val="000000"/>
                <w:sz w:val="22"/>
                <w:szCs w:val="22"/>
              </w:rPr>
              <w:t>Dépôts dans des institutions financières réglementées</w:t>
            </w:r>
          </w:p>
        </w:tc>
        <w:tc>
          <w:tcPr>
            <w:tcW w:w="1423" w:type="dxa"/>
            <w:tcBorders>
              <w:top w:val="nil"/>
              <w:left w:val="nil"/>
              <w:bottom w:val="nil"/>
              <w:right w:val="nil"/>
            </w:tcBorders>
            <w:shd w:val="clear" w:color="auto" w:fill="auto"/>
            <w:noWrap/>
            <w:vAlign w:val="bottom"/>
            <w:hideMark/>
          </w:tcPr>
          <w:p w14:paraId="162C1311" w14:textId="4E19D352" w:rsidR="000A5113" w:rsidRPr="00216C30" w:rsidRDefault="000A5113" w:rsidP="007D75EB">
            <w:pPr>
              <w:jc w:val="right"/>
              <w:rPr>
                <w:rFonts w:ascii="Arial" w:hAnsi="Arial" w:cs="Arial"/>
                <w:color w:val="000000"/>
                <w:sz w:val="22"/>
                <w:szCs w:val="22"/>
              </w:rPr>
            </w:pPr>
            <w:r>
              <w:rPr>
                <w:rFonts w:ascii="Arial" w:hAnsi="Arial"/>
                <w:color w:val="000000"/>
                <w:sz w:val="22"/>
                <w:szCs w:val="22"/>
              </w:rPr>
              <w:t xml:space="preserve">106 182 $ </w:t>
            </w:r>
          </w:p>
        </w:tc>
        <w:tc>
          <w:tcPr>
            <w:tcW w:w="1724" w:type="dxa"/>
            <w:tcBorders>
              <w:top w:val="nil"/>
              <w:left w:val="nil"/>
              <w:bottom w:val="nil"/>
              <w:right w:val="single" w:sz="4" w:space="0" w:color="auto"/>
            </w:tcBorders>
            <w:shd w:val="clear" w:color="auto" w:fill="auto"/>
            <w:noWrap/>
            <w:vAlign w:val="bottom"/>
            <w:hideMark/>
          </w:tcPr>
          <w:p w14:paraId="33E4369D" w14:textId="77777777" w:rsidR="000A5113" w:rsidRPr="00216C30" w:rsidRDefault="000A5113">
            <w:pPr>
              <w:jc w:val="right"/>
              <w:rPr>
                <w:rFonts w:ascii="Arial" w:hAnsi="Arial" w:cs="Arial"/>
                <w:color w:val="000000"/>
                <w:sz w:val="22"/>
                <w:szCs w:val="22"/>
              </w:rPr>
            </w:pPr>
            <w:r>
              <w:rPr>
                <w:rFonts w:ascii="Arial" w:hAnsi="Arial"/>
                <w:color w:val="000000"/>
                <w:sz w:val="22"/>
                <w:szCs w:val="22"/>
              </w:rPr>
              <w:t>20 %</w:t>
            </w:r>
          </w:p>
        </w:tc>
      </w:tr>
      <w:tr w:rsidR="000A5113" w:rsidRPr="00864AD4" w14:paraId="5D8E0CAE" w14:textId="77777777" w:rsidTr="00813F71">
        <w:trPr>
          <w:trHeight w:val="347"/>
        </w:trPr>
        <w:tc>
          <w:tcPr>
            <w:tcW w:w="4431" w:type="dxa"/>
            <w:gridSpan w:val="2"/>
            <w:tcBorders>
              <w:top w:val="nil"/>
              <w:left w:val="single" w:sz="4" w:space="0" w:color="auto"/>
              <w:bottom w:val="single" w:sz="4" w:space="0" w:color="auto"/>
              <w:right w:val="nil"/>
            </w:tcBorders>
            <w:shd w:val="clear" w:color="auto" w:fill="auto"/>
            <w:noWrap/>
            <w:vAlign w:val="bottom"/>
            <w:hideMark/>
          </w:tcPr>
          <w:p w14:paraId="5EAF4BB4" w14:textId="77777777" w:rsidR="000A5113" w:rsidRPr="00216C30" w:rsidRDefault="000A5113" w:rsidP="00813F71">
            <w:pPr>
              <w:jc w:val="left"/>
              <w:rPr>
                <w:rFonts w:ascii="Arial" w:hAnsi="Arial" w:cs="Arial"/>
                <w:color w:val="000000"/>
                <w:sz w:val="22"/>
                <w:szCs w:val="22"/>
              </w:rPr>
            </w:pPr>
            <w:r>
              <w:rPr>
                <w:rFonts w:ascii="Arial" w:hAnsi="Arial"/>
                <w:color w:val="000000"/>
                <w:sz w:val="22"/>
                <w:szCs w:val="22"/>
              </w:rPr>
              <w:t>Valeurs émises ou garanties par le gouvernement</w:t>
            </w:r>
          </w:p>
        </w:tc>
        <w:tc>
          <w:tcPr>
            <w:tcW w:w="1423" w:type="dxa"/>
            <w:tcBorders>
              <w:top w:val="nil"/>
              <w:left w:val="nil"/>
              <w:bottom w:val="single" w:sz="4" w:space="0" w:color="auto"/>
              <w:right w:val="nil"/>
            </w:tcBorders>
            <w:shd w:val="clear" w:color="auto" w:fill="auto"/>
            <w:noWrap/>
            <w:vAlign w:val="bottom"/>
            <w:hideMark/>
          </w:tcPr>
          <w:p w14:paraId="05F8300E" w14:textId="7E55765B" w:rsidR="000A5113" w:rsidRPr="00216C30" w:rsidRDefault="000A5113" w:rsidP="007D75EB">
            <w:pPr>
              <w:jc w:val="right"/>
              <w:rPr>
                <w:rFonts w:ascii="Arial" w:hAnsi="Arial" w:cs="Arial"/>
                <w:color w:val="000000"/>
                <w:sz w:val="22"/>
                <w:szCs w:val="22"/>
              </w:rPr>
            </w:pPr>
            <w:r>
              <w:rPr>
                <w:rFonts w:ascii="Arial" w:hAnsi="Arial"/>
                <w:color w:val="000000"/>
                <w:sz w:val="22"/>
                <w:szCs w:val="22"/>
              </w:rPr>
              <w:t xml:space="preserve">161 024 $ </w:t>
            </w:r>
          </w:p>
        </w:tc>
        <w:tc>
          <w:tcPr>
            <w:tcW w:w="1724" w:type="dxa"/>
            <w:tcBorders>
              <w:top w:val="nil"/>
              <w:left w:val="nil"/>
              <w:bottom w:val="single" w:sz="4" w:space="0" w:color="auto"/>
              <w:right w:val="single" w:sz="4" w:space="0" w:color="auto"/>
            </w:tcBorders>
            <w:shd w:val="clear" w:color="auto" w:fill="auto"/>
            <w:noWrap/>
            <w:vAlign w:val="bottom"/>
            <w:hideMark/>
          </w:tcPr>
          <w:p w14:paraId="1D583FA3" w14:textId="77777777" w:rsidR="000A5113" w:rsidRPr="00216C30" w:rsidRDefault="000A5113">
            <w:pPr>
              <w:jc w:val="right"/>
              <w:rPr>
                <w:rFonts w:ascii="Arial" w:hAnsi="Arial" w:cs="Arial"/>
                <w:color w:val="000000"/>
                <w:sz w:val="22"/>
                <w:szCs w:val="22"/>
              </w:rPr>
            </w:pPr>
            <w:r>
              <w:rPr>
                <w:rFonts w:ascii="Arial" w:hAnsi="Arial"/>
                <w:color w:val="000000"/>
                <w:sz w:val="22"/>
                <w:szCs w:val="22"/>
              </w:rPr>
              <w:t>0 %</w:t>
            </w:r>
          </w:p>
        </w:tc>
      </w:tr>
      <w:tr w:rsidR="000A5113" w:rsidRPr="00864AD4" w14:paraId="27C8B8B8" w14:textId="77777777" w:rsidTr="00813F71">
        <w:trPr>
          <w:trHeight w:val="347"/>
        </w:trPr>
        <w:tc>
          <w:tcPr>
            <w:tcW w:w="2827" w:type="dxa"/>
            <w:tcBorders>
              <w:top w:val="nil"/>
              <w:left w:val="single" w:sz="4" w:space="0" w:color="auto"/>
              <w:bottom w:val="single" w:sz="4" w:space="0" w:color="auto"/>
              <w:right w:val="nil"/>
            </w:tcBorders>
            <w:shd w:val="clear" w:color="auto" w:fill="auto"/>
            <w:noWrap/>
            <w:vAlign w:val="bottom"/>
            <w:hideMark/>
          </w:tcPr>
          <w:p w14:paraId="2D895F74" w14:textId="77777777" w:rsidR="000A5113" w:rsidRPr="00216C30" w:rsidRDefault="000A5113" w:rsidP="00813F71">
            <w:pPr>
              <w:jc w:val="left"/>
              <w:rPr>
                <w:rFonts w:ascii="Arial" w:hAnsi="Arial" w:cs="Arial"/>
                <w:b/>
                <w:bCs/>
                <w:color w:val="000000"/>
                <w:sz w:val="22"/>
                <w:szCs w:val="22"/>
              </w:rPr>
            </w:pPr>
            <w:r>
              <w:rPr>
                <w:rFonts w:ascii="Arial" w:hAnsi="Arial"/>
                <w:b/>
                <w:bCs/>
                <w:color w:val="000000"/>
                <w:sz w:val="22"/>
                <w:szCs w:val="22"/>
              </w:rPr>
              <w:t>Total</w:t>
            </w:r>
          </w:p>
        </w:tc>
        <w:tc>
          <w:tcPr>
            <w:tcW w:w="1604" w:type="dxa"/>
            <w:tcBorders>
              <w:top w:val="nil"/>
              <w:left w:val="nil"/>
              <w:bottom w:val="single" w:sz="4" w:space="0" w:color="auto"/>
              <w:right w:val="nil"/>
            </w:tcBorders>
            <w:shd w:val="clear" w:color="auto" w:fill="auto"/>
            <w:noWrap/>
            <w:vAlign w:val="bottom"/>
            <w:hideMark/>
          </w:tcPr>
          <w:p w14:paraId="0A1FC2BB" w14:textId="77777777" w:rsidR="000A5113" w:rsidRPr="00216C30" w:rsidRDefault="000A5113">
            <w:pPr>
              <w:jc w:val="right"/>
              <w:rPr>
                <w:rFonts w:ascii="Arial" w:hAnsi="Arial" w:cs="Arial"/>
                <w:b/>
                <w:bCs/>
                <w:color w:val="000000"/>
                <w:sz w:val="22"/>
                <w:szCs w:val="22"/>
              </w:rPr>
            </w:pPr>
          </w:p>
        </w:tc>
        <w:tc>
          <w:tcPr>
            <w:tcW w:w="1423" w:type="dxa"/>
            <w:tcBorders>
              <w:top w:val="nil"/>
              <w:left w:val="nil"/>
              <w:bottom w:val="single" w:sz="4" w:space="0" w:color="auto"/>
              <w:right w:val="nil"/>
            </w:tcBorders>
            <w:shd w:val="clear" w:color="auto" w:fill="auto"/>
            <w:noWrap/>
            <w:vAlign w:val="bottom"/>
            <w:hideMark/>
          </w:tcPr>
          <w:p w14:paraId="7F7E2E63" w14:textId="3A1CA54C" w:rsidR="000A5113" w:rsidRPr="00216C30" w:rsidRDefault="000A5113" w:rsidP="007D75EB">
            <w:pPr>
              <w:jc w:val="right"/>
              <w:rPr>
                <w:rFonts w:ascii="Arial" w:hAnsi="Arial" w:cs="Arial"/>
                <w:b/>
                <w:bCs/>
                <w:color w:val="000000"/>
                <w:sz w:val="22"/>
                <w:szCs w:val="22"/>
              </w:rPr>
            </w:pPr>
            <w:r>
              <w:rPr>
                <w:rFonts w:ascii="Arial" w:hAnsi="Arial"/>
                <w:b/>
                <w:bCs/>
                <w:color w:val="000000"/>
                <w:sz w:val="22"/>
                <w:szCs w:val="22"/>
              </w:rPr>
              <w:t>267 206 $</w:t>
            </w:r>
          </w:p>
        </w:tc>
        <w:tc>
          <w:tcPr>
            <w:tcW w:w="1724" w:type="dxa"/>
            <w:tcBorders>
              <w:top w:val="nil"/>
              <w:left w:val="nil"/>
              <w:bottom w:val="single" w:sz="4" w:space="0" w:color="auto"/>
              <w:right w:val="single" w:sz="4" w:space="0" w:color="auto"/>
            </w:tcBorders>
            <w:shd w:val="clear" w:color="auto" w:fill="auto"/>
            <w:noWrap/>
            <w:vAlign w:val="bottom"/>
            <w:hideMark/>
          </w:tcPr>
          <w:p w14:paraId="26C67D7C" w14:textId="77777777" w:rsidR="000A5113" w:rsidRPr="00216C30" w:rsidRDefault="000A5113" w:rsidP="00813F71">
            <w:pPr>
              <w:jc w:val="left"/>
              <w:rPr>
                <w:rFonts w:ascii="Arial" w:hAnsi="Arial" w:cs="Arial"/>
                <w:color w:val="000000"/>
                <w:sz w:val="22"/>
                <w:szCs w:val="22"/>
              </w:rPr>
            </w:pPr>
            <w:r>
              <w:rPr>
                <w:rFonts w:ascii="Arial" w:hAnsi="Arial"/>
                <w:color w:val="000000"/>
                <w:sz w:val="22"/>
                <w:szCs w:val="22"/>
              </w:rPr>
              <w:t> </w:t>
            </w:r>
          </w:p>
        </w:tc>
      </w:tr>
    </w:tbl>
    <w:p w14:paraId="5A6326EF" w14:textId="77777777" w:rsidR="00B25ABB" w:rsidRPr="00216C30" w:rsidRDefault="00B25ABB" w:rsidP="00DC2083">
      <w:pPr>
        <w:rPr>
          <w:rFonts w:ascii="Arial" w:hAnsi="Arial" w:cs="Arial"/>
          <w:b/>
          <w:lang w:val="en-US"/>
        </w:rPr>
      </w:pPr>
    </w:p>
    <w:p w14:paraId="28D99297" w14:textId="77777777" w:rsidR="00813F71" w:rsidRPr="00216C30" w:rsidRDefault="00813F71" w:rsidP="00DC2083">
      <w:pPr>
        <w:rPr>
          <w:rFonts w:ascii="Arial" w:hAnsi="Arial" w:cs="Arial"/>
          <w:b/>
          <w:lang w:val="en-US"/>
        </w:rPr>
      </w:pPr>
    </w:p>
    <w:p w14:paraId="3DD976AF" w14:textId="77777777" w:rsidR="00813F71" w:rsidRPr="00216C30" w:rsidRDefault="00813F71" w:rsidP="00F0411C">
      <w:pPr>
        <w:pStyle w:val="Heading2"/>
        <w:ind w:left="0"/>
        <w:jc w:val="left"/>
        <w:rPr>
          <w:rFonts w:ascii="Arial" w:hAnsi="Arial" w:cs="Arial"/>
          <w:i w:val="0"/>
        </w:rPr>
      </w:pPr>
      <w:bookmarkStart w:id="37" w:name="_Toc514152873"/>
      <w:bookmarkStart w:id="38" w:name="_Toc39172712"/>
      <w:r>
        <w:rPr>
          <w:rFonts w:ascii="Arial" w:hAnsi="Arial"/>
          <w:i w:val="0"/>
        </w:rPr>
        <w:t>DÉCLARATIONS AU SUJET DES PORTEFEUILLES EN VERTU DE L'APPROCHE DE NOTATION INTERNE (NI)</w:t>
      </w:r>
      <w:bookmarkEnd w:id="37"/>
      <w:bookmarkEnd w:id="38"/>
    </w:p>
    <w:p w14:paraId="5AAAEA85" w14:textId="77777777" w:rsidR="00813F71" w:rsidRPr="00216C30" w:rsidRDefault="009B06B3" w:rsidP="00DC2083">
      <w:pPr>
        <w:rPr>
          <w:rFonts w:ascii="Arial" w:hAnsi="Arial" w:cs="Arial"/>
        </w:rPr>
      </w:pPr>
      <w:r>
        <w:rPr>
          <w:rFonts w:ascii="Arial" w:hAnsi="Arial"/>
        </w:rPr>
        <w:t>La Banque gère le risque de crédit en utilisant l’approche normalisée. Par conséquent, la Banque n’a aucun portefeuille en vertu de l’approche de notation interne (NI)</w:t>
      </w:r>
    </w:p>
    <w:p w14:paraId="69F3CD13" w14:textId="77777777" w:rsidR="00DC2083" w:rsidRPr="00780C43" w:rsidRDefault="00DC2083" w:rsidP="00DC2083">
      <w:pPr>
        <w:rPr>
          <w:rFonts w:ascii="Arial" w:hAnsi="Arial" w:cs="Arial"/>
          <w:b/>
        </w:rPr>
      </w:pPr>
    </w:p>
    <w:p w14:paraId="490F4D29" w14:textId="77777777" w:rsidR="00813F71" w:rsidRPr="00780C43" w:rsidRDefault="00813F71" w:rsidP="00DC2083">
      <w:pPr>
        <w:rPr>
          <w:rFonts w:ascii="Arial" w:hAnsi="Arial" w:cs="Arial"/>
          <w:b/>
        </w:rPr>
      </w:pPr>
    </w:p>
    <w:p w14:paraId="6B0FF003" w14:textId="0DD495C7" w:rsidR="00DC2083" w:rsidRPr="00216C30" w:rsidRDefault="00813F71" w:rsidP="00F0411C">
      <w:pPr>
        <w:pStyle w:val="Heading2"/>
        <w:ind w:left="0"/>
        <w:jc w:val="left"/>
        <w:rPr>
          <w:rFonts w:ascii="Arial" w:hAnsi="Arial" w:cs="Arial"/>
          <w:i w:val="0"/>
        </w:rPr>
      </w:pPr>
      <w:bookmarkStart w:id="39" w:name="_Toc514152874"/>
      <w:bookmarkStart w:id="40" w:name="_Toc39172713"/>
      <w:r>
        <w:rPr>
          <w:rFonts w:ascii="Arial" w:hAnsi="Arial"/>
          <w:i w:val="0"/>
        </w:rPr>
        <w:t>LIMITATION DES RISQUES DE CRÉDIT</w:t>
      </w:r>
      <w:bookmarkEnd w:id="39"/>
      <w:bookmarkEnd w:id="40"/>
    </w:p>
    <w:p w14:paraId="5D77A64A" w14:textId="5C9D0A7C" w:rsidR="00404680" w:rsidRPr="00ED0650" w:rsidRDefault="009B06B3" w:rsidP="00FD6E64">
      <w:pPr>
        <w:rPr>
          <w:rFonts w:ascii="Arial" w:hAnsi="Arial"/>
        </w:rPr>
      </w:pPr>
      <w:r>
        <w:rPr>
          <w:rFonts w:ascii="Arial" w:hAnsi="Arial"/>
        </w:rPr>
        <w:t xml:space="preserve">La Banque investit dans des valeurs émises ou garanties par le gouvernement, des dépôts à terme d'institutions financières. Les créances de la Banque sont composées exclusivement de créances de cartes de crédit. Les prêts sur cartes de crédit ne sont pas assurés ou garantis. </w:t>
      </w:r>
      <w:proofErr w:type="gramStart"/>
      <w:r>
        <w:rPr>
          <w:rFonts w:ascii="Arial" w:hAnsi="Arial"/>
        </w:rPr>
        <w:t>Par contre</w:t>
      </w:r>
      <w:proofErr w:type="gramEnd"/>
      <w:r>
        <w:rPr>
          <w:rFonts w:ascii="Arial" w:hAnsi="Arial"/>
        </w:rPr>
        <w:t>, sur la base des contrôles spécifiés dans la section risque de crédit du premier document, la Banque est active dans l’atténuation du risque de crédit.</w:t>
      </w:r>
      <w:bookmarkStart w:id="41" w:name="_Toc514152875"/>
    </w:p>
    <w:p w14:paraId="523340D2" w14:textId="77777777" w:rsidR="00404680" w:rsidRPr="00780C43" w:rsidRDefault="00404680" w:rsidP="00F0411C">
      <w:pPr>
        <w:pStyle w:val="Heading2"/>
        <w:ind w:left="0"/>
        <w:jc w:val="left"/>
        <w:rPr>
          <w:rFonts w:ascii="Arial" w:hAnsi="Arial" w:cs="Arial"/>
        </w:rPr>
      </w:pPr>
    </w:p>
    <w:p w14:paraId="134A8D43" w14:textId="77777777" w:rsidR="00B62E1D" w:rsidRPr="00216C30" w:rsidRDefault="00B62E1D" w:rsidP="00F0411C">
      <w:pPr>
        <w:pStyle w:val="Heading2"/>
        <w:ind w:left="0"/>
        <w:jc w:val="left"/>
        <w:rPr>
          <w:rFonts w:ascii="Arial" w:hAnsi="Arial" w:cs="Arial"/>
          <w:b w:val="0"/>
        </w:rPr>
      </w:pPr>
      <w:bookmarkStart w:id="42" w:name="_Toc39172714"/>
      <w:r>
        <w:rPr>
          <w:rFonts w:ascii="Arial" w:hAnsi="Arial"/>
          <w:i w:val="0"/>
        </w:rPr>
        <w:t>DÉCLARATIONS GÉNÉRALES AU SUJET DE L’EXPOSITION AU RISQUE DE CRÉDIT DES CONTREPARTIES</w:t>
      </w:r>
      <w:bookmarkEnd w:id="41"/>
      <w:bookmarkEnd w:id="42"/>
    </w:p>
    <w:p w14:paraId="2E19F611" w14:textId="77777777" w:rsidR="00B62E1D" w:rsidRPr="00216C30" w:rsidRDefault="009B06B3" w:rsidP="00B62E1D">
      <w:pPr>
        <w:rPr>
          <w:rFonts w:ascii="Arial" w:hAnsi="Arial" w:cs="Arial"/>
        </w:rPr>
      </w:pPr>
      <w:r>
        <w:rPr>
          <w:rFonts w:ascii="Arial" w:hAnsi="Arial"/>
        </w:rPr>
        <w:t>La Banque est très peu exposée aux risques de contrepartie liés aux garants financiers, banques d’investissement ou contreparties sur produits dérivés. Les seuls risques d’exposition de la Banque figurent dans la section de déclarations au sujet de l’approche normalisée énoncée en référence. La Banque détient ces actifs seulement dans le but de soutenir la croissance de son portefeuille et de se conformer à tous les paramètres de liquidité réglementaires.</w:t>
      </w:r>
    </w:p>
    <w:p w14:paraId="3501C2E4" w14:textId="77777777" w:rsidR="001658A3" w:rsidRPr="00780C43" w:rsidRDefault="001658A3" w:rsidP="00B62E1D">
      <w:pPr>
        <w:rPr>
          <w:rFonts w:ascii="Arial" w:hAnsi="Arial" w:cs="Arial"/>
        </w:rPr>
      </w:pPr>
    </w:p>
    <w:p w14:paraId="1F9E8111" w14:textId="77777777" w:rsidR="00F0411C" w:rsidRPr="00780C43" w:rsidRDefault="00F0411C" w:rsidP="00B62E1D">
      <w:pPr>
        <w:rPr>
          <w:rFonts w:ascii="Arial" w:hAnsi="Arial" w:cs="Arial"/>
        </w:rPr>
      </w:pPr>
    </w:p>
    <w:p w14:paraId="1ECA33A8" w14:textId="77777777" w:rsidR="001658A3" w:rsidRPr="00216C30" w:rsidRDefault="001658A3" w:rsidP="00F0411C">
      <w:pPr>
        <w:pStyle w:val="Heading2"/>
        <w:ind w:left="0"/>
        <w:jc w:val="left"/>
        <w:rPr>
          <w:rFonts w:ascii="Arial" w:hAnsi="Arial" w:cs="Arial"/>
          <w:i w:val="0"/>
        </w:rPr>
      </w:pPr>
      <w:bookmarkStart w:id="43" w:name="_Toc514152876"/>
      <w:bookmarkStart w:id="44" w:name="_Toc39172715"/>
      <w:r>
        <w:rPr>
          <w:rFonts w:ascii="Arial" w:hAnsi="Arial"/>
          <w:i w:val="0"/>
        </w:rPr>
        <w:lastRenderedPageBreak/>
        <w:t>SÉCURISATION : DÉCLARATIONS AU SUJET DE L’APPROCHE NORMALISÉE</w:t>
      </w:r>
      <w:bookmarkEnd w:id="43"/>
      <w:bookmarkEnd w:id="44"/>
    </w:p>
    <w:p w14:paraId="4E2C7CA3" w14:textId="77777777" w:rsidR="00155AFE" w:rsidRPr="00216C30" w:rsidRDefault="009B06B3" w:rsidP="00155AFE">
      <w:pPr>
        <w:rPr>
          <w:rFonts w:ascii="Arial" w:hAnsi="Arial" w:cs="Arial"/>
        </w:rPr>
      </w:pPr>
      <w:r>
        <w:rPr>
          <w:rFonts w:ascii="Arial" w:hAnsi="Arial"/>
        </w:rPr>
        <w:t xml:space="preserve">La Banque génère des prêts sur cartes de crédit qu’elle a commencé à titriser en avril 2019 dans le cadre de sa stratégie de financement diversifié et aux fins de rentabilité des capitaux. En avril 2019, la Banque a établi une entité ad hoc structurée, Canvas </w:t>
      </w:r>
      <w:proofErr w:type="spellStart"/>
      <w:r>
        <w:rPr>
          <w:rFonts w:ascii="Arial" w:hAnsi="Arial"/>
        </w:rPr>
        <w:t>Cards</w:t>
      </w:r>
      <w:proofErr w:type="spellEnd"/>
      <w:r>
        <w:rPr>
          <w:rFonts w:ascii="Arial" w:hAnsi="Arial"/>
        </w:rPr>
        <w:t xml:space="preserve"> Trust (“CCT”), pour faciliter la titrisation. La Banque fait le transfert d’intérêts en copropriété dans des prêts sur cartes de crédit selon un système d’avances remboursables au CCT en échange d’un produit en espèces. CCT finance l’achat d’intérêts en copropriété en émettant des billets garantis par les intérêts en copropriété des prêts sur cartes de crédit. La Banque continue à traiter les prêts sur cartes de crédits transférés et maintient la relation compte avec les clients ainsi que les intérêts résiduels des prêts sur cartes de crédit. Le produit reçu des intérêts en copropriété transférés sont réinvestis dans des intérêts en copropriété additionnels pour faciliter le financement selon la stratégie de financement de la Banque et pour cibler la répartition des fonds entre les dépôts et les titrisations. </w:t>
      </w:r>
    </w:p>
    <w:p w14:paraId="1BB6536E" w14:textId="77777777" w:rsidR="00155AFE" w:rsidRPr="00216C30" w:rsidRDefault="002E2717" w:rsidP="00155AFE">
      <w:pPr>
        <w:rPr>
          <w:rFonts w:ascii="Arial" w:hAnsi="Arial" w:cs="Arial"/>
        </w:rPr>
      </w:pPr>
      <w:r>
        <w:rPr>
          <w:rFonts w:ascii="Arial" w:hAnsi="Arial"/>
        </w:rPr>
        <w:br/>
        <w:t xml:space="preserve">À des fins légales, la Banque a vendu des intérêts en copropriété de prêts sur cartes de crédit qui sont hors d’atteinte des créanciers de celle-ci. Toutefois, la Banque conserve une exposition à tous les risques et les récompenses substantiels des intérêts en copropriété transférés dans les prêts sur cartes de crédit et continue de contrôler le CCT. Aux fins d’information financière, la Banque ne </w:t>
      </w:r>
      <w:proofErr w:type="spellStart"/>
      <w:r>
        <w:rPr>
          <w:rFonts w:ascii="Arial" w:hAnsi="Arial"/>
        </w:rPr>
        <w:t>décomptabilise</w:t>
      </w:r>
      <w:proofErr w:type="spellEnd"/>
      <w:r>
        <w:rPr>
          <w:rFonts w:ascii="Arial" w:hAnsi="Arial"/>
        </w:rPr>
        <w:t xml:space="preserve"> pas les intérêts transférés dans des prêts sur cartes de crédit et consolide le CCT. Les intérêts </w:t>
      </w:r>
      <w:proofErr w:type="spellStart"/>
      <w:r>
        <w:rPr>
          <w:rFonts w:ascii="Arial" w:hAnsi="Arial"/>
        </w:rPr>
        <w:t>tritisés</w:t>
      </w:r>
      <w:proofErr w:type="spellEnd"/>
      <w:r>
        <w:rPr>
          <w:rFonts w:ascii="Arial" w:hAnsi="Arial"/>
        </w:rPr>
        <w:t xml:space="preserve"> dans les prêts sur cartes de crédit demeurent dans les états financiers consolidés de la Banque et sont soumis à une évaluation continue au coût amorti et à une évaluation pour dépréciation. De plus, dans le cadre de la consolidation CCT, les billets émis par CCT sont compris dans le passif des états financiers consolidés de la Banque et comptabilisés au coût amorti. </w:t>
      </w:r>
    </w:p>
    <w:p w14:paraId="3CAB711D" w14:textId="77777777" w:rsidR="00155AFE" w:rsidRPr="00216C30" w:rsidRDefault="002E2717" w:rsidP="00155AFE">
      <w:pPr>
        <w:rPr>
          <w:rFonts w:ascii="Arial" w:hAnsi="Arial" w:cs="Arial"/>
        </w:rPr>
      </w:pPr>
      <w:r>
        <w:rPr>
          <w:rFonts w:ascii="Arial" w:hAnsi="Arial"/>
        </w:rPr>
        <w:br/>
        <w:t xml:space="preserve">Pour des raisons liées au capital réglementaire, les prêts sur cartes de crédit sont considérés comme une partie de l’actif pondéré en fonction des risques, lesquels ne sont pas traités différemment que s’ils n’avaient pas été </w:t>
      </w:r>
      <w:proofErr w:type="spellStart"/>
      <w:r>
        <w:rPr>
          <w:rFonts w:ascii="Arial" w:hAnsi="Arial"/>
        </w:rPr>
        <w:t>tritisés</w:t>
      </w:r>
      <w:proofErr w:type="spellEnd"/>
      <w:r>
        <w:rPr>
          <w:rFonts w:ascii="Arial" w:hAnsi="Arial"/>
        </w:rPr>
        <w:t xml:space="preserve">. </w:t>
      </w:r>
    </w:p>
    <w:p w14:paraId="181F2A52" w14:textId="77777777" w:rsidR="002E2717" w:rsidRPr="00216C30" w:rsidRDefault="002E2717" w:rsidP="00155AFE">
      <w:pPr>
        <w:rPr>
          <w:rFonts w:ascii="Arial" w:hAnsi="Arial" w:cs="Arial"/>
        </w:rPr>
      </w:pPr>
    </w:p>
    <w:p w14:paraId="7EA75BE2" w14:textId="35BCDFDE" w:rsidR="00155AFE" w:rsidRPr="00216C30" w:rsidRDefault="00155AFE" w:rsidP="00155AFE">
      <w:pPr>
        <w:rPr>
          <w:rFonts w:ascii="Arial" w:hAnsi="Arial" w:cs="Arial"/>
        </w:rPr>
      </w:pPr>
      <w:r>
        <w:rPr>
          <w:rFonts w:ascii="Arial" w:hAnsi="Arial"/>
        </w:rPr>
        <w:t xml:space="preserve">Depuis le mardi, décembre 31, 2019, le tableau suivant détermine la valeur comptable et la valeur juste des intérêts en copropriété de la Banque transférés dans des prêts sur cartes de crédit et les billets émis par CCT : </w:t>
      </w:r>
    </w:p>
    <w:p w14:paraId="757CF3F8" w14:textId="77777777" w:rsidR="00D854A0" w:rsidRPr="00216C30" w:rsidRDefault="00D854A0" w:rsidP="00155AFE">
      <w:pPr>
        <w:rPr>
          <w:rFonts w:ascii="Arial" w:hAnsi="Arial" w:cs="Arial"/>
        </w:rPr>
      </w:pPr>
    </w:p>
    <w:tbl>
      <w:tblPr>
        <w:tblW w:w="8612" w:type="dxa"/>
        <w:tblInd w:w="108" w:type="dxa"/>
        <w:tblLook w:val="04A0" w:firstRow="1" w:lastRow="0" w:firstColumn="1" w:lastColumn="0" w:noHBand="0" w:noVBand="1"/>
      </w:tblPr>
      <w:tblGrid>
        <w:gridCol w:w="5462"/>
        <w:gridCol w:w="1544"/>
        <w:gridCol w:w="1606"/>
      </w:tblGrid>
      <w:tr w:rsidR="00155AFE" w:rsidRPr="00424CC3" w14:paraId="1FD7900B" w14:textId="77777777" w:rsidTr="00D854A0">
        <w:trPr>
          <w:trHeight w:val="300"/>
        </w:trPr>
        <w:tc>
          <w:tcPr>
            <w:tcW w:w="5462"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55A86F7F" w14:textId="77777777" w:rsidR="00155AFE" w:rsidRPr="00216C30" w:rsidRDefault="00155AFE" w:rsidP="00155AFE">
            <w:pPr>
              <w:rPr>
                <w:rFonts w:ascii="Arial" w:hAnsi="Arial" w:cs="Arial"/>
                <w:color w:val="000000"/>
                <w:sz w:val="22"/>
              </w:rPr>
            </w:pPr>
          </w:p>
        </w:tc>
        <w:tc>
          <w:tcPr>
            <w:tcW w:w="31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CA4576" w14:textId="77777777" w:rsidR="00155AFE" w:rsidRPr="00216C30" w:rsidRDefault="00155AFE" w:rsidP="00155AFE">
            <w:pPr>
              <w:jc w:val="center"/>
              <w:rPr>
                <w:rFonts w:ascii="Arial" w:hAnsi="Arial" w:cs="Arial"/>
                <w:b/>
                <w:bCs/>
                <w:color w:val="000000"/>
                <w:sz w:val="22"/>
              </w:rPr>
            </w:pPr>
            <w:r>
              <w:rPr>
                <w:rFonts w:ascii="Arial" w:hAnsi="Arial"/>
                <w:b/>
                <w:bCs/>
                <w:color w:val="000000"/>
                <w:sz w:val="22"/>
              </w:rPr>
              <w:t>2019</w:t>
            </w:r>
          </w:p>
        </w:tc>
      </w:tr>
      <w:tr w:rsidR="00155AFE" w:rsidRPr="00424CC3" w14:paraId="1F5476A4" w14:textId="77777777" w:rsidTr="00D854A0">
        <w:trPr>
          <w:trHeight w:val="300"/>
        </w:trPr>
        <w:tc>
          <w:tcPr>
            <w:tcW w:w="5462" w:type="dxa"/>
            <w:tcBorders>
              <w:top w:val="single" w:sz="8" w:space="0" w:color="auto"/>
              <w:left w:val="single" w:sz="8" w:space="0" w:color="auto"/>
              <w:bottom w:val="single" w:sz="8" w:space="0" w:color="auto"/>
              <w:right w:val="single" w:sz="4" w:space="0" w:color="auto"/>
            </w:tcBorders>
            <w:shd w:val="clear" w:color="auto" w:fill="auto"/>
            <w:vAlign w:val="center"/>
          </w:tcPr>
          <w:p w14:paraId="2BBDB71C" w14:textId="77777777" w:rsidR="00155AFE" w:rsidRPr="00216C30" w:rsidRDefault="00155AFE" w:rsidP="00155AFE">
            <w:pPr>
              <w:rPr>
                <w:rFonts w:ascii="Arial" w:hAnsi="Arial" w:cs="Arial"/>
                <w:color w:val="000000"/>
                <w:sz w:val="22"/>
              </w:rPr>
            </w:pP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tcPr>
          <w:p w14:paraId="28268118" w14:textId="77777777" w:rsidR="00155AFE" w:rsidRPr="00216C30" w:rsidRDefault="00155AFE" w:rsidP="00155AFE">
            <w:pPr>
              <w:jc w:val="center"/>
              <w:rPr>
                <w:rFonts w:ascii="Arial" w:hAnsi="Arial" w:cs="Arial"/>
                <w:b/>
                <w:bCs/>
                <w:color w:val="000000"/>
                <w:sz w:val="22"/>
              </w:rPr>
            </w:pPr>
            <w:r>
              <w:rPr>
                <w:rFonts w:ascii="Arial" w:hAnsi="Arial"/>
                <w:b/>
                <w:bCs/>
                <w:color w:val="000000"/>
                <w:sz w:val="22"/>
              </w:rPr>
              <w:t>Valeur comptable</w:t>
            </w:r>
          </w:p>
        </w:tc>
        <w:tc>
          <w:tcPr>
            <w:tcW w:w="1606" w:type="dxa"/>
            <w:tcBorders>
              <w:top w:val="single" w:sz="4" w:space="0" w:color="auto"/>
              <w:left w:val="single" w:sz="4" w:space="0" w:color="auto"/>
              <w:bottom w:val="single" w:sz="4" w:space="0" w:color="auto"/>
              <w:right w:val="single" w:sz="4" w:space="0" w:color="auto"/>
            </w:tcBorders>
          </w:tcPr>
          <w:p w14:paraId="683339FA" w14:textId="77777777" w:rsidR="00155AFE" w:rsidRPr="00216C30" w:rsidRDefault="00155AFE" w:rsidP="00155AFE">
            <w:pPr>
              <w:jc w:val="center"/>
              <w:rPr>
                <w:rFonts w:ascii="Arial" w:hAnsi="Arial" w:cs="Arial"/>
                <w:b/>
                <w:bCs/>
                <w:color w:val="000000"/>
                <w:sz w:val="22"/>
              </w:rPr>
            </w:pPr>
            <w:r>
              <w:rPr>
                <w:rFonts w:ascii="Arial" w:hAnsi="Arial"/>
                <w:b/>
                <w:bCs/>
                <w:color w:val="000000"/>
                <w:sz w:val="22"/>
              </w:rPr>
              <w:t xml:space="preserve">Passable </w:t>
            </w:r>
          </w:p>
          <w:p w14:paraId="104417DF" w14:textId="77777777" w:rsidR="00155AFE" w:rsidRPr="00216C30" w:rsidRDefault="00155AFE" w:rsidP="00155AFE">
            <w:pPr>
              <w:jc w:val="center"/>
              <w:rPr>
                <w:rFonts w:ascii="Arial" w:hAnsi="Arial" w:cs="Arial"/>
                <w:b/>
                <w:bCs/>
                <w:color w:val="000000"/>
                <w:sz w:val="22"/>
              </w:rPr>
            </w:pPr>
            <w:r>
              <w:rPr>
                <w:rFonts w:ascii="Arial" w:hAnsi="Arial"/>
                <w:b/>
                <w:bCs/>
                <w:color w:val="000000"/>
                <w:sz w:val="22"/>
              </w:rPr>
              <w:t>Valeur</w:t>
            </w:r>
          </w:p>
        </w:tc>
      </w:tr>
      <w:tr w:rsidR="00155AFE" w:rsidRPr="00424CC3" w14:paraId="5B6CD0BA" w14:textId="77777777" w:rsidTr="00D854A0">
        <w:trPr>
          <w:trHeight w:val="300"/>
        </w:trPr>
        <w:tc>
          <w:tcPr>
            <w:tcW w:w="5462" w:type="dxa"/>
            <w:tcBorders>
              <w:top w:val="nil"/>
              <w:left w:val="single" w:sz="8" w:space="0" w:color="auto"/>
              <w:bottom w:val="single" w:sz="8" w:space="0" w:color="auto"/>
              <w:right w:val="single" w:sz="4" w:space="0" w:color="auto"/>
            </w:tcBorders>
            <w:shd w:val="clear" w:color="auto" w:fill="auto"/>
            <w:vAlign w:val="center"/>
            <w:hideMark/>
          </w:tcPr>
          <w:p w14:paraId="06584700" w14:textId="77777777" w:rsidR="00155AFE" w:rsidRPr="00216C30" w:rsidRDefault="00155AFE" w:rsidP="00155AFE">
            <w:pPr>
              <w:rPr>
                <w:rFonts w:ascii="Arial" w:hAnsi="Arial" w:cs="Arial"/>
                <w:b/>
                <w:bCs/>
                <w:color w:val="000000"/>
                <w:sz w:val="22"/>
              </w:rPr>
            </w:pPr>
            <w:r>
              <w:rPr>
                <w:rFonts w:ascii="Arial" w:hAnsi="Arial"/>
                <w:bCs/>
                <w:color w:val="000000"/>
                <w:sz w:val="22"/>
              </w:rPr>
              <w:t>Intérêts en copropriété provenant des prêts sur cartes de crédit transférés à CCT</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8812D" w14:textId="52157857" w:rsidR="00155AFE" w:rsidRPr="00216C30" w:rsidRDefault="009469ED" w:rsidP="00155AFE">
            <w:pPr>
              <w:jc w:val="right"/>
              <w:rPr>
                <w:rFonts w:ascii="Arial" w:hAnsi="Arial" w:cs="Arial"/>
                <w:color w:val="000000"/>
                <w:sz w:val="22"/>
              </w:rPr>
            </w:pPr>
            <w:r>
              <w:rPr>
                <w:rFonts w:ascii="Arial" w:hAnsi="Arial"/>
                <w:color w:val="000000"/>
                <w:sz w:val="22"/>
              </w:rPr>
              <w:t>773 603</w:t>
            </w:r>
          </w:p>
        </w:tc>
        <w:tc>
          <w:tcPr>
            <w:tcW w:w="1606" w:type="dxa"/>
            <w:tcBorders>
              <w:top w:val="single" w:sz="4" w:space="0" w:color="auto"/>
              <w:left w:val="single" w:sz="4" w:space="0" w:color="auto"/>
              <w:bottom w:val="single" w:sz="4" w:space="0" w:color="auto"/>
              <w:right w:val="single" w:sz="4" w:space="0" w:color="auto"/>
            </w:tcBorders>
            <w:vAlign w:val="center"/>
          </w:tcPr>
          <w:p w14:paraId="72705B55" w14:textId="4524CAF9" w:rsidR="00155AFE" w:rsidRPr="00216C30" w:rsidRDefault="009469ED" w:rsidP="00155AFE">
            <w:pPr>
              <w:jc w:val="right"/>
              <w:rPr>
                <w:rFonts w:ascii="Arial" w:hAnsi="Arial" w:cs="Arial"/>
                <w:color w:val="000000"/>
                <w:sz w:val="22"/>
              </w:rPr>
            </w:pPr>
            <w:r>
              <w:rPr>
                <w:rFonts w:ascii="Arial" w:hAnsi="Arial"/>
                <w:color w:val="000000"/>
                <w:sz w:val="22"/>
              </w:rPr>
              <w:t>773 603</w:t>
            </w:r>
          </w:p>
        </w:tc>
      </w:tr>
      <w:tr w:rsidR="00155AFE" w:rsidRPr="00424CC3" w14:paraId="2DA3D7ED" w14:textId="77777777" w:rsidTr="00D854A0">
        <w:trPr>
          <w:trHeight w:val="310"/>
        </w:trPr>
        <w:tc>
          <w:tcPr>
            <w:tcW w:w="5462" w:type="dxa"/>
            <w:tcBorders>
              <w:top w:val="nil"/>
              <w:left w:val="single" w:sz="8" w:space="0" w:color="auto"/>
              <w:bottom w:val="single" w:sz="8" w:space="0" w:color="auto"/>
              <w:right w:val="single" w:sz="4" w:space="0" w:color="auto"/>
            </w:tcBorders>
            <w:shd w:val="clear" w:color="auto" w:fill="auto"/>
            <w:vAlign w:val="center"/>
            <w:hideMark/>
          </w:tcPr>
          <w:p w14:paraId="78904B5B" w14:textId="77777777" w:rsidR="00155AFE" w:rsidRPr="00216C30" w:rsidRDefault="00155AFE" w:rsidP="00155AFE">
            <w:pPr>
              <w:rPr>
                <w:rFonts w:ascii="Arial" w:hAnsi="Arial" w:cs="Arial"/>
                <w:bCs/>
                <w:color w:val="000000"/>
                <w:sz w:val="22"/>
              </w:rPr>
            </w:pPr>
            <w:r>
              <w:rPr>
                <w:rFonts w:ascii="Arial" w:hAnsi="Arial"/>
                <w:bCs/>
                <w:color w:val="000000"/>
                <w:sz w:val="22"/>
              </w:rPr>
              <w:t>Passif-billets associés</w:t>
            </w:r>
          </w:p>
        </w:tc>
        <w:tc>
          <w:tcPr>
            <w:tcW w:w="1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A7CF74" w14:textId="54184176" w:rsidR="00155AFE" w:rsidRPr="00216C30" w:rsidRDefault="009469ED" w:rsidP="00155AFE">
            <w:pPr>
              <w:jc w:val="right"/>
              <w:rPr>
                <w:rFonts w:ascii="Arial" w:hAnsi="Arial" w:cs="Arial"/>
                <w:color w:val="000000"/>
                <w:sz w:val="22"/>
              </w:rPr>
            </w:pPr>
            <w:r>
              <w:rPr>
                <w:rFonts w:ascii="Arial" w:hAnsi="Arial"/>
                <w:color w:val="000000"/>
                <w:sz w:val="22"/>
              </w:rPr>
              <w:t>773 603</w:t>
            </w:r>
          </w:p>
        </w:tc>
        <w:tc>
          <w:tcPr>
            <w:tcW w:w="1606" w:type="dxa"/>
            <w:tcBorders>
              <w:top w:val="single" w:sz="4" w:space="0" w:color="auto"/>
              <w:left w:val="single" w:sz="4" w:space="0" w:color="auto"/>
              <w:bottom w:val="single" w:sz="4" w:space="0" w:color="auto"/>
              <w:right w:val="single" w:sz="4" w:space="0" w:color="auto"/>
            </w:tcBorders>
            <w:vAlign w:val="center"/>
          </w:tcPr>
          <w:p w14:paraId="0ACE767A" w14:textId="1721708D" w:rsidR="00155AFE" w:rsidRPr="00216C30" w:rsidRDefault="009469ED" w:rsidP="00155AFE">
            <w:pPr>
              <w:jc w:val="right"/>
              <w:rPr>
                <w:rFonts w:ascii="Arial" w:hAnsi="Arial" w:cs="Arial"/>
                <w:color w:val="000000"/>
                <w:sz w:val="22"/>
              </w:rPr>
            </w:pPr>
            <w:r>
              <w:rPr>
                <w:rFonts w:ascii="Arial" w:hAnsi="Arial"/>
                <w:color w:val="000000"/>
                <w:sz w:val="22"/>
              </w:rPr>
              <w:t>773 603</w:t>
            </w:r>
          </w:p>
        </w:tc>
      </w:tr>
    </w:tbl>
    <w:p w14:paraId="019F5C05" w14:textId="77777777" w:rsidR="00155AFE" w:rsidRPr="00216C30" w:rsidRDefault="00155AFE" w:rsidP="00155AFE">
      <w:pPr>
        <w:rPr>
          <w:rFonts w:ascii="Arial" w:hAnsi="Arial" w:cs="Arial"/>
          <w:b/>
        </w:rPr>
      </w:pPr>
    </w:p>
    <w:p w14:paraId="5999D2C7" w14:textId="691927D0" w:rsidR="00155AFE" w:rsidRPr="00216C30" w:rsidRDefault="00155AFE" w:rsidP="00155AFE">
      <w:pPr>
        <w:rPr>
          <w:rFonts w:ascii="Arial" w:hAnsi="Arial" w:cs="Arial"/>
        </w:rPr>
      </w:pPr>
      <w:r>
        <w:rPr>
          <w:rFonts w:ascii="Arial" w:hAnsi="Arial"/>
        </w:rPr>
        <w:t xml:space="preserve">CCT a émis </w:t>
      </w:r>
      <w:r>
        <w:rPr>
          <w:rFonts w:ascii="Arial" w:hAnsi="Arial"/>
          <w:b/>
        </w:rPr>
        <w:t>1</w:t>
      </w:r>
      <w:r>
        <w:rPr>
          <w:rFonts w:ascii="Arial" w:hAnsi="Arial"/>
        </w:rPr>
        <w:t xml:space="preserve"> série de billets depuis la création du véhicule en avril 2019. Les investisseurs dans les billets sont des parties externes qui ne sont pas liés à la Banque. Les billets émis ont les conditions suivantes et la valeur comptable au mardi, décembre 31, 2019 :</w:t>
      </w:r>
    </w:p>
    <w:p w14:paraId="7D380783" w14:textId="77777777" w:rsidR="00D854A0" w:rsidRPr="00216C30" w:rsidRDefault="00D854A0" w:rsidP="00155AFE">
      <w:pPr>
        <w:rPr>
          <w:rFonts w:ascii="Arial" w:hAnsi="Arial" w:cs="Arial"/>
        </w:rPr>
      </w:pPr>
    </w:p>
    <w:tbl>
      <w:tblPr>
        <w:tblW w:w="8730" w:type="dxa"/>
        <w:tblInd w:w="108" w:type="dxa"/>
        <w:tblLook w:val="04A0" w:firstRow="1" w:lastRow="0" w:firstColumn="1" w:lastColumn="0" w:noHBand="0" w:noVBand="1"/>
      </w:tblPr>
      <w:tblGrid>
        <w:gridCol w:w="1890"/>
        <w:gridCol w:w="697"/>
        <w:gridCol w:w="1014"/>
        <w:gridCol w:w="675"/>
        <w:gridCol w:w="1052"/>
        <w:gridCol w:w="947"/>
        <w:gridCol w:w="1443"/>
        <w:gridCol w:w="1012"/>
      </w:tblGrid>
      <w:tr w:rsidR="00155AFE" w:rsidRPr="00424CC3" w14:paraId="2C7CA975" w14:textId="77777777" w:rsidTr="004F26E6">
        <w:trPr>
          <w:trHeight w:val="300"/>
        </w:trPr>
        <w:tc>
          <w:tcPr>
            <w:tcW w:w="1890" w:type="dxa"/>
            <w:tcBorders>
              <w:top w:val="single" w:sz="4" w:space="0" w:color="auto"/>
              <w:left w:val="single" w:sz="4" w:space="0" w:color="auto"/>
              <w:bottom w:val="single" w:sz="8" w:space="0" w:color="auto"/>
              <w:right w:val="nil"/>
            </w:tcBorders>
            <w:shd w:val="clear" w:color="auto" w:fill="auto"/>
            <w:noWrap/>
            <w:vAlign w:val="center"/>
            <w:hideMark/>
          </w:tcPr>
          <w:p w14:paraId="6985357B" w14:textId="77777777" w:rsidR="00155AFE" w:rsidRPr="00216C30" w:rsidRDefault="00155AFE" w:rsidP="00D854A0">
            <w:pPr>
              <w:rPr>
                <w:rFonts w:ascii="Arial" w:hAnsi="Arial" w:cs="Arial"/>
                <w:b/>
                <w:bCs/>
                <w:color w:val="000000"/>
                <w:sz w:val="22"/>
              </w:rPr>
            </w:pPr>
            <w:r>
              <w:rPr>
                <w:rFonts w:ascii="Arial" w:hAnsi="Arial"/>
                <w:b/>
                <w:bCs/>
                <w:color w:val="000000"/>
                <w:sz w:val="22"/>
              </w:rPr>
              <w:t>Billets en cours d’émission</w:t>
            </w:r>
          </w:p>
        </w:tc>
        <w:tc>
          <w:tcPr>
            <w:tcW w:w="1783" w:type="dxa"/>
            <w:gridSpan w:val="2"/>
            <w:tcBorders>
              <w:top w:val="single" w:sz="4" w:space="0" w:color="auto"/>
              <w:left w:val="nil"/>
              <w:bottom w:val="single" w:sz="8" w:space="0" w:color="auto"/>
              <w:right w:val="nil"/>
            </w:tcBorders>
            <w:vAlign w:val="center"/>
          </w:tcPr>
          <w:p w14:paraId="3661AA7E" w14:textId="77777777" w:rsidR="00155AFE" w:rsidRPr="00216C30" w:rsidRDefault="00155AFE" w:rsidP="00D854A0">
            <w:pPr>
              <w:jc w:val="left"/>
              <w:rPr>
                <w:rFonts w:ascii="Arial" w:hAnsi="Arial" w:cs="Arial"/>
                <w:b/>
                <w:bCs/>
                <w:color w:val="000000"/>
                <w:sz w:val="22"/>
              </w:rPr>
            </w:pPr>
            <w:r>
              <w:rPr>
                <w:rFonts w:ascii="Arial" w:hAnsi="Arial"/>
                <w:b/>
                <w:bCs/>
                <w:color w:val="000000"/>
                <w:sz w:val="22"/>
              </w:rPr>
              <w:t>Date d’émission</w:t>
            </w:r>
          </w:p>
        </w:tc>
        <w:tc>
          <w:tcPr>
            <w:tcW w:w="1727" w:type="dxa"/>
            <w:gridSpan w:val="2"/>
            <w:tcBorders>
              <w:top w:val="single" w:sz="4" w:space="0" w:color="auto"/>
              <w:left w:val="nil"/>
              <w:bottom w:val="single" w:sz="8" w:space="0" w:color="auto"/>
              <w:right w:val="nil"/>
            </w:tcBorders>
            <w:shd w:val="clear" w:color="auto" w:fill="auto"/>
            <w:noWrap/>
            <w:vAlign w:val="center"/>
            <w:hideMark/>
          </w:tcPr>
          <w:p w14:paraId="5BD67272" w14:textId="77777777" w:rsidR="00155AFE" w:rsidRPr="00216C30" w:rsidRDefault="00155AFE" w:rsidP="00D854A0">
            <w:pPr>
              <w:jc w:val="left"/>
              <w:rPr>
                <w:rFonts w:ascii="Arial" w:hAnsi="Arial" w:cs="Arial"/>
                <w:b/>
                <w:bCs/>
                <w:color w:val="000000"/>
                <w:sz w:val="22"/>
              </w:rPr>
            </w:pPr>
            <w:r>
              <w:rPr>
                <w:rFonts w:ascii="Arial" w:hAnsi="Arial"/>
                <w:b/>
                <w:bCs/>
                <w:color w:val="000000"/>
                <w:sz w:val="22"/>
              </w:rPr>
              <w:t>Date d’échéance</w:t>
            </w:r>
          </w:p>
        </w:tc>
        <w:tc>
          <w:tcPr>
            <w:tcW w:w="2390" w:type="dxa"/>
            <w:gridSpan w:val="2"/>
            <w:tcBorders>
              <w:top w:val="single" w:sz="4" w:space="0" w:color="auto"/>
              <w:left w:val="nil"/>
              <w:bottom w:val="single" w:sz="8" w:space="0" w:color="auto"/>
              <w:right w:val="nil"/>
            </w:tcBorders>
            <w:shd w:val="clear" w:color="auto" w:fill="auto"/>
            <w:noWrap/>
            <w:vAlign w:val="center"/>
            <w:hideMark/>
          </w:tcPr>
          <w:p w14:paraId="4CF174FA" w14:textId="77777777" w:rsidR="00155AFE" w:rsidRPr="00216C30" w:rsidRDefault="00155AFE" w:rsidP="00D854A0">
            <w:pPr>
              <w:jc w:val="left"/>
              <w:rPr>
                <w:rFonts w:ascii="Arial" w:hAnsi="Arial" w:cs="Arial"/>
                <w:b/>
                <w:bCs/>
                <w:color w:val="000000"/>
                <w:sz w:val="22"/>
              </w:rPr>
            </w:pPr>
            <w:r>
              <w:rPr>
                <w:rFonts w:ascii="Arial" w:hAnsi="Arial"/>
                <w:b/>
                <w:bCs/>
                <w:color w:val="000000"/>
                <w:sz w:val="22"/>
              </w:rPr>
              <w:t>Taux d’intérêt nominal</w:t>
            </w:r>
          </w:p>
        </w:tc>
        <w:tc>
          <w:tcPr>
            <w:tcW w:w="940" w:type="dxa"/>
            <w:tcBorders>
              <w:top w:val="single" w:sz="4" w:space="0" w:color="auto"/>
              <w:left w:val="nil"/>
              <w:bottom w:val="single" w:sz="8" w:space="0" w:color="auto"/>
              <w:right w:val="single" w:sz="4" w:space="0" w:color="auto"/>
            </w:tcBorders>
            <w:shd w:val="clear" w:color="auto" w:fill="auto"/>
            <w:noWrap/>
            <w:vAlign w:val="center"/>
            <w:hideMark/>
          </w:tcPr>
          <w:p w14:paraId="6621746F" w14:textId="77777777" w:rsidR="00155AFE" w:rsidRPr="00216C30" w:rsidRDefault="00155AFE" w:rsidP="00D854A0">
            <w:pPr>
              <w:jc w:val="left"/>
              <w:rPr>
                <w:rFonts w:ascii="Arial" w:hAnsi="Arial" w:cs="Arial"/>
                <w:b/>
                <w:bCs/>
                <w:color w:val="000000"/>
                <w:sz w:val="22"/>
              </w:rPr>
            </w:pPr>
            <w:r>
              <w:rPr>
                <w:rFonts w:ascii="Arial" w:hAnsi="Arial"/>
                <w:b/>
                <w:bCs/>
                <w:color w:val="000000"/>
                <w:sz w:val="22"/>
              </w:rPr>
              <w:t>2019</w:t>
            </w:r>
          </w:p>
        </w:tc>
      </w:tr>
      <w:tr w:rsidR="00155AFE" w:rsidRPr="00424CC3" w14:paraId="13B91B9D" w14:textId="77777777" w:rsidTr="004F26E6">
        <w:trPr>
          <w:trHeight w:val="52"/>
        </w:trPr>
        <w:tc>
          <w:tcPr>
            <w:tcW w:w="2587" w:type="dxa"/>
            <w:gridSpan w:val="2"/>
            <w:tcBorders>
              <w:top w:val="nil"/>
              <w:left w:val="single" w:sz="4" w:space="0" w:color="auto"/>
              <w:bottom w:val="nil"/>
              <w:right w:val="nil"/>
            </w:tcBorders>
            <w:shd w:val="clear" w:color="auto" w:fill="auto"/>
            <w:noWrap/>
            <w:vAlign w:val="bottom"/>
            <w:hideMark/>
          </w:tcPr>
          <w:p w14:paraId="457DACE5" w14:textId="77777777" w:rsidR="00155AFE" w:rsidRPr="00216C30" w:rsidRDefault="00155AFE" w:rsidP="00D854A0">
            <w:pPr>
              <w:jc w:val="right"/>
              <w:rPr>
                <w:rFonts w:ascii="Arial" w:hAnsi="Arial" w:cs="Arial"/>
                <w:b/>
                <w:bCs/>
                <w:color w:val="000000"/>
                <w:sz w:val="22"/>
              </w:rPr>
            </w:pPr>
          </w:p>
        </w:tc>
        <w:tc>
          <w:tcPr>
            <w:tcW w:w="1761" w:type="dxa"/>
            <w:gridSpan w:val="2"/>
            <w:tcBorders>
              <w:top w:val="nil"/>
              <w:left w:val="nil"/>
              <w:bottom w:val="nil"/>
              <w:right w:val="nil"/>
            </w:tcBorders>
          </w:tcPr>
          <w:p w14:paraId="015E9A4C" w14:textId="77777777" w:rsidR="00155AFE" w:rsidRPr="00216C30" w:rsidRDefault="00155AFE" w:rsidP="00D854A0">
            <w:pPr>
              <w:rPr>
                <w:rFonts w:ascii="Arial" w:hAnsi="Arial" w:cs="Arial"/>
                <w:sz w:val="22"/>
                <w:szCs w:val="20"/>
              </w:rPr>
            </w:pPr>
          </w:p>
        </w:tc>
        <w:tc>
          <w:tcPr>
            <w:tcW w:w="1999" w:type="dxa"/>
            <w:gridSpan w:val="2"/>
            <w:tcBorders>
              <w:top w:val="nil"/>
              <w:left w:val="nil"/>
              <w:bottom w:val="nil"/>
              <w:right w:val="nil"/>
            </w:tcBorders>
            <w:shd w:val="clear" w:color="auto" w:fill="auto"/>
            <w:noWrap/>
            <w:vAlign w:val="bottom"/>
            <w:hideMark/>
          </w:tcPr>
          <w:p w14:paraId="25520591" w14:textId="77777777" w:rsidR="00155AFE" w:rsidRPr="00216C30" w:rsidRDefault="00155AFE" w:rsidP="00D854A0">
            <w:pPr>
              <w:rPr>
                <w:rFonts w:ascii="Arial" w:hAnsi="Arial" w:cs="Arial"/>
                <w:sz w:val="22"/>
                <w:szCs w:val="20"/>
              </w:rPr>
            </w:pPr>
          </w:p>
        </w:tc>
        <w:tc>
          <w:tcPr>
            <w:tcW w:w="1443" w:type="dxa"/>
            <w:tcBorders>
              <w:top w:val="nil"/>
              <w:left w:val="nil"/>
              <w:bottom w:val="nil"/>
              <w:right w:val="nil"/>
            </w:tcBorders>
            <w:shd w:val="clear" w:color="auto" w:fill="auto"/>
            <w:noWrap/>
            <w:vAlign w:val="bottom"/>
            <w:hideMark/>
          </w:tcPr>
          <w:p w14:paraId="56AC48BE" w14:textId="77777777" w:rsidR="00155AFE" w:rsidRPr="00216C30" w:rsidRDefault="00155AFE" w:rsidP="00D854A0">
            <w:pPr>
              <w:rPr>
                <w:rFonts w:ascii="Arial" w:hAnsi="Arial" w:cs="Arial"/>
                <w:sz w:val="22"/>
                <w:szCs w:val="20"/>
              </w:rPr>
            </w:pPr>
          </w:p>
        </w:tc>
        <w:tc>
          <w:tcPr>
            <w:tcW w:w="940" w:type="dxa"/>
            <w:tcBorders>
              <w:top w:val="nil"/>
              <w:left w:val="nil"/>
              <w:bottom w:val="nil"/>
              <w:right w:val="single" w:sz="4" w:space="0" w:color="auto"/>
            </w:tcBorders>
            <w:shd w:val="clear" w:color="auto" w:fill="auto"/>
            <w:noWrap/>
            <w:vAlign w:val="bottom"/>
            <w:hideMark/>
          </w:tcPr>
          <w:p w14:paraId="2A6F87CA" w14:textId="77777777" w:rsidR="00155AFE" w:rsidRPr="00216C30" w:rsidRDefault="00155AFE" w:rsidP="00D854A0">
            <w:pPr>
              <w:rPr>
                <w:rFonts w:ascii="Arial" w:hAnsi="Arial" w:cs="Arial"/>
                <w:sz w:val="22"/>
                <w:szCs w:val="20"/>
              </w:rPr>
            </w:pPr>
          </w:p>
        </w:tc>
      </w:tr>
      <w:tr w:rsidR="00155AFE" w:rsidRPr="00424CC3" w14:paraId="260519B2" w14:textId="77777777" w:rsidTr="004F26E6">
        <w:trPr>
          <w:trHeight w:val="290"/>
        </w:trPr>
        <w:tc>
          <w:tcPr>
            <w:tcW w:w="2587" w:type="dxa"/>
            <w:gridSpan w:val="2"/>
            <w:tcBorders>
              <w:top w:val="nil"/>
              <w:left w:val="single" w:sz="4" w:space="0" w:color="auto"/>
              <w:bottom w:val="nil"/>
              <w:right w:val="nil"/>
            </w:tcBorders>
            <w:shd w:val="clear" w:color="auto" w:fill="auto"/>
            <w:noWrap/>
            <w:vAlign w:val="bottom"/>
            <w:hideMark/>
          </w:tcPr>
          <w:p w14:paraId="3F651799" w14:textId="77777777" w:rsidR="00155AFE" w:rsidRPr="00216C30" w:rsidRDefault="00155AFE" w:rsidP="00D854A0">
            <w:pPr>
              <w:rPr>
                <w:rFonts w:ascii="Arial" w:hAnsi="Arial" w:cs="Arial"/>
                <w:b/>
                <w:bCs/>
                <w:color w:val="000000"/>
                <w:sz w:val="22"/>
              </w:rPr>
            </w:pPr>
            <w:r>
              <w:rPr>
                <w:rFonts w:ascii="Arial" w:hAnsi="Arial"/>
                <w:b/>
                <w:bCs/>
                <w:color w:val="000000"/>
                <w:sz w:val="22"/>
              </w:rPr>
              <w:t xml:space="preserve">Billets de premier rang </w:t>
            </w:r>
          </w:p>
        </w:tc>
        <w:tc>
          <w:tcPr>
            <w:tcW w:w="1761" w:type="dxa"/>
            <w:gridSpan w:val="2"/>
            <w:tcBorders>
              <w:top w:val="nil"/>
              <w:left w:val="nil"/>
              <w:bottom w:val="nil"/>
              <w:right w:val="nil"/>
            </w:tcBorders>
          </w:tcPr>
          <w:p w14:paraId="24471FF3" w14:textId="77777777" w:rsidR="00155AFE" w:rsidRPr="00216C30" w:rsidRDefault="00155AFE" w:rsidP="00D854A0">
            <w:pPr>
              <w:rPr>
                <w:rFonts w:ascii="Arial" w:hAnsi="Arial" w:cs="Arial"/>
                <w:sz w:val="22"/>
                <w:szCs w:val="20"/>
              </w:rPr>
            </w:pPr>
          </w:p>
        </w:tc>
        <w:tc>
          <w:tcPr>
            <w:tcW w:w="1999" w:type="dxa"/>
            <w:gridSpan w:val="2"/>
            <w:tcBorders>
              <w:top w:val="nil"/>
              <w:left w:val="nil"/>
              <w:bottom w:val="nil"/>
              <w:right w:val="nil"/>
            </w:tcBorders>
            <w:shd w:val="clear" w:color="auto" w:fill="auto"/>
            <w:noWrap/>
            <w:vAlign w:val="bottom"/>
            <w:hideMark/>
          </w:tcPr>
          <w:p w14:paraId="57A17F2C" w14:textId="77777777" w:rsidR="00155AFE" w:rsidRPr="00216C30" w:rsidRDefault="00155AFE" w:rsidP="00D854A0">
            <w:pPr>
              <w:rPr>
                <w:rFonts w:ascii="Arial" w:hAnsi="Arial" w:cs="Arial"/>
                <w:sz w:val="22"/>
                <w:szCs w:val="20"/>
              </w:rPr>
            </w:pPr>
          </w:p>
        </w:tc>
        <w:tc>
          <w:tcPr>
            <w:tcW w:w="1443" w:type="dxa"/>
            <w:tcBorders>
              <w:top w:val="nil"/>
              <w:left w:val="nil"/>
              <w:bottom w:val="nil"/>
              <w:right w:val="nil"/>
            </w:tcBorders>
            <w:shd w:val="clear" w:color="auto" w:fill="auto"/>
            <w:noWrap/>
            <w:vAlign w:val="bottom"/>
            <w:hideMark/>
          </w:tcPr>
          <w:p w14:paraId="6998A947" w14:textId="77777777" w:rsidR="00155AFE" w:rsidRPr="00216C30" w:rsidRDefault="00155AFE" w:rsidP="00D854A0">
            <w:pPr>
              <w:rPr>
                <w:rFonts w:ascii="Arial" w:hAnsi="Arial" w:cs="Arial"/>
                <w:sz w:val="22"/>
                <w:szCs w:val="20"/>
              </w:rPr>
            </w:pPr>
          </w:p>
        </w:tc>
        <w:tc>
          <w:tcPr>
            <w:tcW w:w="940" w:type="dxa"/>
            <w:tcBorders>
              <w:top w:val="nil"/>
              <w:left w:val="nil"/>
              <w:bottom w:val="nil"/>
              <w:right w:val="single" w:sz="4" w:space="0" w:color="auto"/>
            </w:tcBorders>
            <w:shd w:val="clear" w:color="auto" w:fill="auto"/>
            <w:noWrap/>
            <w:vAlign w:val="bottom"/>
            <w:hideMark/>
          </w:tcPr>
          <w:p w14:paraId="20A2F105" w14:textId="77777777" w:rsidR="00155AFE" w:rsidRPr="00216C30" w:rsidRDefault="00155AFE" w:rsidP="00D854A0">
            <w:pPr>
              <w:rPr>
                <w:rFonts w:ascii="Arial" w:hAnsi="Arial" w:cs="Arial"/>
                <w:sz w:val="22"/>
                <w:szCs w:val="20"/>
              </w:rPr>
            </w:pPr>
          </w:p>
        </w:tc>
      </w:tr>
      <w:tr w:rsidR="00155AFE" w:rsidRPr="00424CC3" w14:paraId="59FE73EE" w14:textId="77777777" w:rsidTr="00B7293E">
        <w:trPr>
          <w:trHeight w:val="290"/>
        </w:trPr>
        <w:tc>
          <w:tcPr>
            <w:tcW w:w="1890" w:type="dxa"/>
            <w:tcBorders>
              <w:top w:val="nil"/>
              <w:left w:val="single" w:sz="4" w:space="0" w:color="auto"/>
              <w:bottom w:val="single" w:sz="4" w:space="0" w:color="auto"/>
              <w:right w:val="nil"/>
            </w:tcBorders>
            <w:shd w:val="clear" w:color="auto" w:fill="auto"/>
            <w:noWrap/>
            <w:vAlign w:val="center"/>
            <w:hideMark/>
          </w:tcPr>
          <w:p w14:paraId="2CB78314" w14:textId="77777777" w:rsidR="00155AFE" w:rsidRPr="00216C30" w:rsidRDefault="00155AFE" w:rsidP="00B7293E">
            <w:pPr>
              <w:jc w:val="left"/>
              <w:rPr>
                <w:rFonts w:ascii="Arial" w:hAnsi="Arial" w:cs="Arial"/>
                <w:color w:val="000000"/>
                <w:sz w:val="22"/>
              </w:rPr>
            </w:pPr>
            <w:r>
              <w:rPr>
                <w:rFonts w:ascii="Arial" w:hAnsi="Arial"/>
                <w:color w:val="000000"/>
                <w:sz w:val="22"/>
              </w:rPr>
              <w:t xml:space="preserve">Série 2019-1 </w:t>
            </w:r>
          </w:p>
        </w:tc>
        <w:tc>
          <w:tcPr>
            <w:tcW w:w="1783" w:type="dxa"/>
            <w:gridSpan w:val="2"/>
            <w:tcBorders>
              <w:top w:val="nil"/>
              <w:left w:val="nil"/>
              <w:bottom w:val="single" w:sz="4" w:space="0" w:color="auto"/>
              <w:right w:val="nil"/>
            </w:tcBorders>
            <w:vAlign w:val="center"/>
          </w:tcPr>
          <w:p w14:paraId="172C5FB3" w14:textId="77777777" w:rsidR="00155AFE" w:rsidRPr="00216C30" w:rsidRDefault="00155AFE" w:rsidP="004F26E6">
            <w:pPr>
              <w:jc w:val="left"/>
              <w:rPr>
                <w:rFonts w:ascii="Arial" w:hAnsi="Arial" w:cs="Arial"/>
                <w:sz w:val="22"/>
                <w:szCs w:val="20"/>
              </w:rPr>
            </w:pPr>
            <w:r>
              <w:rPr>
                <w:rFonts w:ascii="Arial" w:hAnsi="Arial"/>
                <w:sz w:val="22"/>
                <w:szCs w:val="20"/>
              </w:rPr>
              <w:t>1</w:t>
            </w:r>
            <w:r>
              <w:rPr>
                <w:rFonts w:ascii="Arial" w:hAnsi="Arial"/>
                <w:sz w:val="22"/>
                <w:szCs w:val="20"/>
                <w:vertAlign w:val="superscript"/>
              </w:rPr>
              <w:t>er</w:t>
            </w:r>
            <w:r>
              <w:rPr>
                <w:rFonts w:ascii="Arial" w:hAnsi="Arial"/>
                <w:sz w:val="22"/>
                <w:szCs w:val="20"/>
              </w:rPr>
              <w:t xml:space="preserve"> avril 2019</w:t>
            </w:r>
          </w:p>
        </w:tc>
        <w:tc>
          <w:tcPr>
            <w:tcW w:w="1727" w:type="dxa"/>
            <w:gridSpan w:val="2"/>
            <w:tcBorders>
              <w:top w:val="nil"/>
              <w:left w:val="nil"/>
              <w:bottom w:val="single" w:sz="4" w:space="0" w:color="auto"/>
              <w:right w:val="nil"/>
            </w:tcBorders>
            <w:shd w:val="clear" w:color="auto" w:fill="auto"/>
            <w:noWrap/>
            <w:vAlign w:val="center"/>
            <w:hideMark/>
          </w:tcPr>
          <w:p w14:paraId="1C6009CE" w14:textId="77777777" w:rsidR="00155AFE" w:rsidRPr="00216C30" w:rsidRDefault="00155AFE" w:rsidP="004F26E6">
            <w:pPr>
              <w:jc w:val="left"/>
              <w:rPr>
                <w:rFonts w:ascii="Arial" w:hAnsi="Arial" w:cs="Arial"/>
                <w:sz w:val="22"/>
                <w:szCs w:val="20"/>
              </w:rPr>
            </w:pPr>
            <w:r>
              <w:rPr>
                <w:rFonts w:ascii="Arial" w:hAnsi="Arial"/>
                <w:sz w:val="22"/>
                <w:szCs w:val="20"/>
              </w:rPr>
              <w:t>Avril 2022</w:t>
            </w:r>
          </w:p>
        </w:tc>
        <w:tc>
          <w:tcPr>
            <w:tcW w:w="2390" w:type="dxa"/>
            <w:gridSpan w:val="2"/>
            <w:tcBorders>
              <w:top w:val="nil"/>
              <w:left w:val="nil"/>
              <w:bottom w:val="single" w:sz="4" w:space="0" w:color="auto"/>
              <w:right w:val="nil"/>
            </w:tcBorders>
            <w:shd w:val="clear" w:color="auto" w:fill="auto"/>
            <w:noWrap/>
            <w:vAlign w:val="center"/>
            <w:hideMark/>
          </w:tcPr>
          <w:p w14:paraId="2B64EB05" w14:textId="77777777" w:rsidR="00155AFE" w:rsidRPr="00216C30" w:rsidRDefault="00155AFE" w:rsidP="004F26E6">
            <w:pPr>
              <w:jc w:val="left"/>
              <w:rPr>
                <w:rFonts w:ascii="Arial" w:hAnsi="Arial" w:cs="Arial"/>
                <w:sz w:val="22"/>
                <w:szCs w:val="20"/>
              </w:rPr>
            </w:pPr>
            <w:r>
              <w:rPr>
                <w:rFonts w:ascii="Arial" w:hAnsi="Arial"/>
                <w:sz w:val="22"/>
                <w:szCs w:val="20"/>
              </w:rPr>
              <w:t xml:space="preserve">3M CDOR et l’écart </w:t>
            </w:r>
          </w:p>
        </w:tc>
        <w:tc>
          <w:tcPr>
            <w:tcW w:w="940" w:type="dxa"/>
            <w:tcBorders>
              <w:top w:val="nil"/>
              <w:left w:val="nil"/>
              <w:bottom w:val="single" w:sz="4" w:space="0" w:color="auto"/>
              <w:right w:val="single" w:sz="4" w:space="0" w:color="auto"/>
            </w:tcBorders>
            <w:shd w:val="clear" w:color="auto" w:fill="auto"/>
            <w:noWrap/>
            <w:vAlign w:val="center"/>
            <w:hideMark/>
          </w:tcPr>
          <w:p w14:paraId="5998E7B8" w14:textId="7D19AB50" w:rsidR="00155AFE" w:rsidRPr="00216C30" w:rsidRDefault="009469ED" w:rsidP="004F26E6">
            <w:pPr>
              <w:jc w:val="left"/>
              <w:rPr>
                <w:rFonts w:ascii="Arial" w:hAnsi="Arial" w:cs="Arial"/>
                <w:sz w:val="22"/>
                <w:szCs w:val="20"/>
              </w:rPr>
            </w:pPr>
            <w:r>
              <w:rPr>
                <w:rFonts w:ascii="Arial" w:hAnsi="Arial"/>
                <w:color w:val="000000"/>
                <w:sz w:val="22"/>
              </w:rPr>
              <w:t>773 603</w:t>
            </w:r>
          </w:p>
        </w:tc>
      </w:tr>
    </w:tbl>
    <w:p w14:paraId="11B2557E" w14:textId="77777777" w:rsidR="00155AFE" w:rsidRPr="00216C30" w:rsidRDefault="00155AFE" w:rsidP="00155AFE">
      <w:pPr>
        <w:rPr>
          <w:rFonts w:ascii="Arial" w:hAnsi="Arial" w:cs="Arial"/>
        </w:rPr>
      </w:pPr>
      <w:r>
        <w:rPr>
          <w:rFonts w:ascii="Arial" w:hAnsi="Arial"/>
        </w:rPr>
        <w:t xml:space="preserve"> </w:t>
      </w:r>
    </w:p>
    <w:p w14:paraId="0186890F" w14:textId="77777777" w:rsidR="00155AFE" w:rsidRPr="00216C30" w:rsidRDefault="00155AFE" w:rsidP="00155AFE">
      <w:pPr>
        <w:rPr>
          <w:rFonts w:ascii="Arial" w:hAnsi="Arial" w:cs="Arial"/>
        </w:rPr>
      </w:pPr>
      <w:r>
        <w:rPr>
          <w:rFonts w:ascii="Arial" w:hAnsi="Arial"/>
        </w:rPr>
        <w:t xml:space="preserve">Les billets sont structurés comme facilité renouvelable avec un montant engagé de 1 milliard $ et un premier acompte à l’émission de 879 millions $. La Banque peut avoir recours </w:t>
      </w:r>
      <w:proofErr w:type="gramStart"/>
      <w:r>
        <w:rPr>
          <w:rFonts w:ascii="Arial" w:hAnsi="Arial"/>
        </w:rPr>
        <w:t>ou</w:t>
      </w:r>
      <w:proofErr w:type="gramEnd"/>
      <w:r>
        <w:rPr>
          <w:rFonts w:ascii="Arial" w:hAnsi="Arial"/>
        </w:rPr>
        <w:t xml:space="preserve"> effectuer un versement forfaitaire de billets pendant la durée. Ainsi, la facilité sera due plus tôt qu’à la date de remboursement des billets par la Banque ou au remboursement commençant au plus tard en avril 2022.</w:t>
      </w:r>
    </w:p>
    <w:p w14:paraId="2144C677" w14:textId="77777777" w:rsidR="004F26E6" w:rsidRPr="00216C30" w:rsidRDefault="004F26E6" w:rsidP="00155AFE">
      <w:pPr>
        <w:rPr>
          <w:rFonts w:ascii="Arial" w:hAnsi="Arial" w:cs="Arial"/>
        </w:rPr>
      </w:pPr>
    </w:p>
    <w:p w14:paraId="667E77AE" w14:textId="419D55F5" w:rsidR="00404680" w:rsidRDefault="00155AFE" w:rsidP="00404680">
      <w:pPr>
        <w:rPr>
          <w:rFonts w:ascii="Arial" w:hAnsi="Arial" w:cs="Arial"/>
        </w:rPr>
      </w:pPr>
      <w:bookmarkStart w:id="45" w:name="_Hlk17960813"/>
      <w:r>
        <w:rPr>
          <w:rFonts w:ascii="Arial" w:hAnsi="Arial"/>
        </w:rPr>
        <w:t>Le taux d’intérêt des billets est basé sur 3M CDOR et l’écart. L’écart est basé sur le niveau de surdimen</w:t>
      </w:r>
      <w:r w:rsidR="00263E65">
        <w:rPr>
          <w:rFonts w:ascii="Arial" w:hAnsi="Arial"/>
        </w:rPr>
        <w:t>s</w:t>
      </w:r>
      <w:r>
        <w:rPr>
          <w:rFonts w:ascii="Arial" w:hAnsi="Arial"/>
        </w:rPr>
        <w:t>ionnement et de la période spécifiée pendant la durée des billets.</w:t>
      </w:r>
      <w:bookmarkStart w:id="46" w:name="_Toc514152877"/>
      <w:bookmarkEnd w:id="45"/>
    </w:p>
    <w:p w14:paraId="1CC23940" w14:textId="77777777" w:rsidR="00404680" w:rsidRDefault="00404680" w:rsidP="00F0411C">
      <w:pPr>
        <w:pStyle w:val="Heading1"/>
        <w:tabs>
          <w:tab w:val="left" w:pos="90"/>
        </w:tabs>
        <w:ind w:left="90" w:hanging="90"/>
        <w:rPr>
          <w:rFonts w:ascii="Arial" w:hAnsi="Arial" w:cs="Arial"/>
        </w:rPr>
      </w:pPr>
    </w:p>
    <w:p w14:paraId="621AFEC0" w14:textId="77777777" w:rsidR="00404680" w:rsidRDefault="00404680" w:rsidP="00F0411C">
      <w:pPr>
        <w:pStyle w:val="Heading1"/>
        <w:tabs>
          <w:tab w:val="left" w:pos="90"/>
        </w:tabs>
        <w:ind w:left="90" w:hanging="90"/>
        <w:rPr>
          <w:rFonts w:ascii="Arial" w:hAnsi="Arial" w:cs="Arial"/>
        </w:rPr>
      </w:pPr>
    </w:p>
    <w:p w14:paraId="40ABF5EC" w14:textId="77777777" w:rsidR="00404680" w:rsidRDefault="00404680" w:rsidP="00F0411C">
      <w:pPr>
        <w:pStyle w:val="Heading1"/>
        <w:tabs>
          <w:tab w:val="left" w:pos="90"/>
        </w:tabs>
        <w:ind w:left="90" w:hanging="90"/>
        <w:rPr>
          <w:rFonts w:ascii="Arial" w:hAnsi="Arial" w:cs="Arial"/>
        </w:rPr>
      </w:pPr>
    </w:p>
    <w:p w14:paraId="20064756" w14:textId="77777777" w:rsidR="00404680" w:rsidRDefault="00404680" w:rsidP="00404680">
      <w:pPr>
        <w:pStyle w:val="Heading1"/>
        <w:tabs>
          <w:tab w:val="left" w:pos="90"/>
        </w:tabs>
        <w:ind w:left="0" w:firstLine="0"/>
        <w:rPr>
          <w:rFonts w:ascii="Arial" w:hAnsi="Arial" w:cs="Arial"/>
        </w:rPr>
      </w:pPr>
    </w:p>
    <w:p w14:paraId="2BEB7799" w14:textId="77777777" w:rsidR="00404680" w:rsidRPr="00780C43" w:rsidRDefault="00404680" w:rsidP="00404680">
      <w:pPr>
        <w:rPr>
          <w:lang w:eastAsia="en-US"/>
        </w:rPr>
      </w:pPr>
    </w:p>
    <w:p w14:paraId="0357FBC2" w14:textId="77777777" w:rsidR="00404680" w:rsidRDefault="00404680" w:rsidP="00F0411C">
      <w:pPr>
        <w:pStyle w:val="Heading1"/>
        <w:tabs>
          <w:tab w:val="left" w:pos="90"/>
        </w:tabs>
        <w:ind w:left="90" w:hanging="90"/>
        <w:rPr>
          <w:rFonts w:ascii="Arial" w:hAnsi="Arial" w:cs="Arial"/>
        </w:rPr>
      </w:pPr>
    </w:p>
    <w:p w14:paraId="6161E66A" w14:textId="77777777" w:rsidR="00404680" w:rsidRDefault="00404680" w:rsidP="00F0411C">
      <w:pPr>
        <w:pStyle w:val="Heading1"/>
        <w:tabs>
          <w:tab w:val="left" w:pos="90"/>
        </w:tabs>
        <w:ind w:left="90" w:hanging="90"/>
        <w:rPr>
          <w:rFonts w:ascii="Arial" w:hAnsi="Arial" w:cs="Arial"/>
        </w:rPr>
      </w:pPr>
    </w:p>
    <w:p w14:paraId="03D15F68" w14:textId="77777777" w:rsidR="00404680" w:rsidRDefault="00404680" w:rsidP="00F0411C">
      <w:pPr>
        <w:pStyle w:val="Heading1"/>
        <w:tabs>
          <w:tab w:val="left" w:pos="90"/>
        </w:tabs>
        <w:ind w:left="90" w:hanging="90"/>
        <w:rPr>
          <w:rFonts w:ascii="Arial" w:hAnsi="Arial" w:cs="Arial"/>
        </w:rPr>
      </w:pPr>
    </w:p>
    <w:p w14:paraId="1245C5AB" w14:textId="77777777" w:rsidR="00404680" w:rsidRDefault="00404680" w:rsidP="00F0411C">
      <w:pPr>
        <w:pStyle w:val="Heading1"/>
        <w:tabs>
          <w:tab w:val="left" w:pos="90"/>
        </w:tabs>
        <w:ind w:left="90" w:hanging="90"/>
        <w:rPr>
          <w:rFonts w:ascii="Arial" w:hAnsi="Arial" w:cs="Arial"/>
        </w:rPr>
      </w:pPr>
    </w:p>
    <w:p w14:paraId="19BCDD08" w14:textId="77777777" w:rsidR="00404680" w:rsidRDefault="00404680" w:rsidP="00F0411C">
      <w:pPr>
        <w:pStyle w:val="Heading1"/>
        <w:tabs>
          <w:tab w:val="left" w:pos="90"/>
        </w:tabs>
        <w:ind w:left="90" w:hanging="90"/>
        <w:rPr>
          <w:rFonts w:ascii="Arial" w:hAnsi="Arial" w:cs="Arial"/>
        </w:rPr>
      </w:pPr>
    </w:p>
    <w:p w14:paraId="6241F711" w14:textId="72A71EBC" w:rsidR="00404680" w:rsidRDefault="00404680" w:rsidP="00404680">
      <w:pPr>
        <w:rPr>
          <w:lang w:eastAsia="en-US"/>
        </w:rPr>
      </w:pPr>
    </w:p>
    <w:p w14:paraId="1053192C" w14:textId="5EF95EA9" w:rsidR="000E4407" w:rsidRDefault="000E4407" w:rsidP="00404680">
      <w:pPr>
        <w:rPr>
          <w:lang w:eastAsia="en-US"/>
        </w:rPr>
      </w:pPr>
    </w:p>
    <w:p w14:paraId="1FB163A5" w14:textId="73487A25" w:rsidR="000E4407" w:rsidRDefault="000E4407" w:rsidP="00404680">
      <w:pPr>
        <w:rPr>
          <w:lang w:eastAsia="en-US"/>
        </w:rPr>
      </w:pPr>
    </w:p>
    <w:p w14:paraId="3E82C90A" w14:textId="3A67582E" w:rsidR="000E4407" w:rsidRDefault="000E4407" w:rsidP="00404680">
      <w:pPr>
        <w:rPr>
          <w:lang w:eastAsia="en-US"/>
        </w:rPr>
      </w:pPr>
    </w:p>
    <w:p w14:paraId="29AEA47E" w14:textId="77777777" w:rsidR="000E4407" w:rsidRDefault="000E4407" w:rsidP="00404680">
      <w:pPr>
        <w:rPr>
          <w:lang w:eastAsia="en-US"/>
        </w:rPr>
      </w:pPr>
    </w:p>
    <w:p w14:paraId="4B3E8454" w14:textId="77777777" w:rsidR="008843C7" w:rsidRDefault="008843C7" w:rsidP="00F0411C">
      <w:pPr>
        <w:pStyle w:val="Heading1"/>
        <w:tabs>
          <w:tab w:val="left" w:pos="90"/>
        </w:tabs>
        <w:ind w:left="90" w:hanging="90"/>
        <w:rPr>
          <w:rFonts w:ascii="Arial" w:hAnsi="Arial"/>
        </w:rPr>
      </w:pPr>
      <w:bookmarkStart w:id="47" w:name="_Toc39172716"/>
    </w:p>
    <w:p w14:paraId="17B01F85" w14:textId="43E88B8D" w:rsidR="009C69AA" w:rsidRPr="00216C30" w:rsidRDefault="009C69AA" w:rsidP="00F0411C">
      <w:pPr>
        <w:pStyle w:val="Heading1"/>
        <w:tabs>
          <w:tab w:val="left" w:pos="90"/>
        </w:tabs>
        <w:ind w:left="90" w:hanging="90"/>
        <w:rPr>
          <w:rFonts w:ascii="Arial" w:hAnsi="Arial" w:cs="Arial"/>
        </w:rPr>
      </w:pPr>
      <w:r>
        <w:rPr>
          <w:rFonts w:ascii="Arial" w:hAnsi="Arial"/>
        </w:rPr>
        <w:t>ANNEXE C : RISQUE DE TAUX D’INTÉRÊT</w:t>
      </w:r>
      <w:bookmarkEnd w:id="46"/>
      <w:bookmarkEnd w:id="47"/>
      <w:r>
        <w:rPr>
          <w:rFonts w:ascii="Arial" w:hAnsi="Arial"/>
        </w:rPr>
        <w:t xml:space="preserve"> </w:t>
      </w:r>
    </w:p>
    <w:p w14:paraId="5AB5EAB6" w14:textId="77777777" w:rsidR="009C69AA" w:rsidRPr="00780C43" w:rsidRDefault="009C69AA" w:rsidP="001658A3">
      <w:pPr>
        <w:rPr>
          <w:rFonts w:ascii="Arial" w:hAnsi="Arial" w:cs="Arial"/>
        </w:rPr>
      </w:pPr>
    </w:p>
    <w:p w14:paraId="0FFA2734" w14:textId="77777777" w:rsidR="0088253B" w:rsidRPr="00216C30" w:rsidRDefault="0088253B" w:rsidP="0088253B">
      <w:pPr>
        <w:rPr>
          <w:rFonts w:ascii="Arial" w:hAnsi="Arial" w:cs="Arial"/>
        </w:rPr>
      </w:pPr>
      <w:r>
        <w:rPr>
          <w:rFonts w:ascii="Arial" w:hAnsi="Arial"/>
        </w:rPr>
        <w:t xml:space="preserve">La politique du comité de gestion de l’actif et du passif supervise et évalue l’incidence d’un décalage parallèle de 200 pb, à la hausse ou à la baisse, des taux d’intérêt : </w:t>
      </w:r>
    </w:p>
    <w:p w14:paraId="0ABEBCA0" w14:textId="77777777" w:rsidR="00225A6A" w:rsidRPr="00780C43" w:rsidRDefault="00225A6A" w:rsidP="0088253B">
      <w:pPr>
        <w:rPr>
          <w:rFonts w:ascii="Arial" w:hAnsi="Arial" w:cs="Arial"/>
        </w:rPr>
      </w:pPr>
    </w:p>
    <w:p w14:paraId="52570B95" w14:textId="77777777" w:rsidR="0088253B" w:rsidRPr="00216C30" w:rsidRDefault="00D42D73" w:rsidP="00216C30">
      <w:pPr>
        <w:tabs>
          <w:tab w:val="left" w:pos="720"/>
        </w:tabs>
        <w:spacing w:line="276" w:lineRule="auto"/>
        <w:ind w:firstLine="720"/>
        <w:rPr>
          <w:rFonts w:ascii="Arial" w:hAnsi="Arial" w:cs="Arial"/>
        </w:rPr>
      </w:pPr>
      <w:r>
        <w:rPr>
          <w:rFonts w:ascii="Arial" w:hAnsi="Arial"/>
        </w:rPr>
        <w:t>• Prévisions du revenu net d'intérêts (RNI) au cours des 12 prochains mois</w:t>
      </w:r>
    </w:p>
    <w:p w14:paraId="70643B94" w14:textId="77777777" w:rsidR="00407BD9" w:rsidRPr="00216C30" w:rsidRDefault="00225A6A" w:rsidP="00216C30">
      <w:pPr>
        <w:ind w:left="720"/>
        <w:rPr>
          <w:rFonts w:ascii="Arial" w:hAnsi="Arial" w:cs="Arial"/>
        </w:rPr>
      </w:pPr>
      <w:r>
        <w:rPr>
          <w:rFonts w:ascii="Arial" w:hAnsi="Arial"/>
        </w:rPr>
        <w:t>• Valeur économique nette (VÉN)</w:t>
      </w:r>
    </w:p>
    <w:p w14:paraId="504E7E8C" w14:textId="77777777" w:rsidR="00DF6421" w:rsidRPr="00780C43" w:rsidRDefault="00DF6421" w:rsidP="00855C10">
      <w:pPr>
        <w:ind w:left="720"/>
        <w:rPr>
          <w:rFonts w:ascii="Arial" w:hAnsi="Arial" w:cs="Arial"/>
        </w:rPr>
      </w:pPr>
    </w:p>
    <w:p w14:paraId="6E599C58" w14:textId="77777777" w:rsidR="00407BD9" w:rsidRPr="00216C30" w:rsidRDefault="000511BA" w:rsidP="000511BA">
      <w:pPr>
        <w:rPr>
          <w:rFonts w:ascii="Arial" w:hAnsi="Arial" w:cs="Arial"/>
        </w:rPr>
      </w:pPr>
      <w:r>
        <w:rPr>
          <w:rFonts w:ascii="Arial" w:hAnsi="Arial"/>
        </w:rPr>
        <w:t>Les incidences ont une relation quasi linéaire sur la variation du point de base. Par conséquent, une variation de 100 pb aurait une incidence sur le BNAI et sur la VÉN à la moitié moins qu’une variation de 200 pb.</w:t>
      </w:r>
    </w:p>
    <w:p w14:paraId="7ECFD3DA" w14:textId="77777777" w:rsidR="003B33A2" w:rsidRPr="00780C43" w:rsidRDefault="003B33A2" w:rsidP="0088253B">
      <w:pPr>
        <w:rPr>
          <w:rFonts w:ascii="Arial" w:hAnsi="Arial" w:cs="Arial"/>
        </w:rPr>
      </w:pPr>
    </w:p>
    <w:p w14:paraId="05FF4404" w14:textId="27F26AA3" w:rsidR="0032546F" w:rsidRPr="00216C30" w:rsidRDefault="0032546F" w:rsidP="0032546F">
      <w:pPr>
        <w:rPr>
          <w:rFonts w:ascii="Arial" w:hAnsi="Arial" w:cs="Arial"/>
        </w:rPr>
      </w:pPr>
      <w:r>
        <w:rPr>
          <w:rFonts w:ascii="Arial" w:hAnsi="Arial"/>
        </w:rPr>
        <w:t>Les limites de l'impact du taux d'intérêt sont fixées à 20 % pour le BNAI et à 12% pour la VÉN. Résultats du plus récent trimestre :</w:t>
      </w:r>
    </w:p>
    <w:p w14:paraId="2CE0FDA2" w14:textId="77777777" w:rsidR="000E39A9" w:rsidRPr="006B1F70" w:rsidRDefault="000E39A9" w:rsidP="0088253B">
      <w:pPr>
        <w:rPr>
          <w:rFonts w:ascii="Arial" w:hAnsi="Arial" w:cs="Arial"/>
        </w:rPr>
      </w:pPr>
    </w:p>
    <w:p w14:paraId="4E6F01D3" w14:textId="77777777" w:rsidR="00225A6A" w:rsidRPr="006B1F70" w:rsidRDefault="00225A6A" w:rsidP="0088253B">
      <w:pPr>
        <w:rPr>
          <w:rFonts w:ascii="Arial" w:hAnsi="Arial" w:cs="Arial"/>
        </w:rPr>
      </w:pPr>
    </w:p>
    <w:tbl>
      <w:tblPr>
        <w:tblW w:w="7080" w:type="dxa"/>
        <w:tblInd w:w="93" w:type="dxa"/>
        <w:tblLook w:val="04A0" w:firstRow="1" w:lastRow="0" w:firstColumn="1" w:lastColumn="0" w:noHBand="0" w:noVBand="1"/>
      </w:tblPr>
      <w:tblGrid>
        <w:gridCol w:w="3540"/>
        <w:gridCol w:w="1820"/>
        <w:gridCol w:w="1794"/>
      </w:tblGrid>
      <w:tr w:rsidR="00216C30" w:rsidRPr="00424CC3" w14:paraId="44891975" w14:textId="77777777" w:rsidTr="00216C30">
        <w:trPr>
          <w:trHeight w:val="300"/>
        </w:trPr>
        <w:tc>
          <w:tcPr>
            <w:tcW w:w="3540" w:type="dxa"/>
            <w:tcBorders>
              <w:top w:val="single" w:sz="4" w:space="0" w:color="auto"/>
              <w:left w:val="single" w:sz="4" w:space="0" w:color="auto"/>
              <w:bottom w:val="nil"/>
              <w:right w:val="nil"/>
            </w:tcBorders>
            <w:shd w:val="clear" w:color="auto" w:fill="auto"/>
            <w:noWrap/>
            <w:vAlign w:val="bottom"/>
            <w:hideMark/>
          </w:tcPr>
          <w:p w14:paraId="13A5CA8E" w14:textId="77777777" w:rsidR="00216C30" w:rsidRPr="00216C30" w:rsidRDefault="00216C30" w:rsidP="00C06B65">
            <w:pPr>
              <w:jc w:val="left"/>
              <w:rPr>
                <w:rFonts w:ascii="Arial" w:hAnsi="Arial" w:cs="Arial"/>
                <w:color w:val="000000"/>
                <w:sz w:val="22"/>
                <w:szCs w:val="22"/>
              </w:rPr>
            </w:pPr>
            <w:r>
              <w:rPr>
                <w:rFonts w:ascii="Arial" w:hAnsi="Arial"/>
                <w:color w:val="000000"/>
                <w:sz w:val="22"/>
                <w:szCs w:val="22"/>
              </w:rPr>
              <w:t> </w:t>
            </w:r>
          </w:p>
        </w:tc>
        <w:tc>
          <w:tcPr>
            <w:tcW w:w="1820" w:type="dxa"/>
            <w:tcBorders>
              <w:top w:val="single" w:sz="4" w:space="0" w:color="auto"/>
              <w:left w:val="nil"/>
              <w:bottom w:val="nil"/>
              <w:right w:val="nil"/>
            </w:tcBorders>
            <w:shd w:val="clear" w:color="000000" w:fill="BFBFBF"/>
            <w:noWrap/>
            <w:vAlign w:val="bottom"/>
            <w:hideMark/>
          </w:tcPr>
          <w:p w14:paraId="5A586753" w14:textId="77777777" w:rsidR="00216C30" w:rsidRPr="00216C30" w:rsidRDefault="00216C30" w:rsidP="00C06B65">
            <w:pPr>
              <w:jc w:val="right"/>
              <w:rPr>
                <w:rFonts w:ascii="Arial" w:hAnsi="Arial" w:cs="Arial"/>
                <w:b/>
                <w:bCs/>
                <w:color w:val="000000"/>
                <w:sz w:val="22"/>
                <w:szCs w:val="22"/>
              </w:rPr>
            </w:pPr>
            <w:r>
              <w:rPr>
                <w:rFonts w:ascii="Arial" w:hAnsi="Arial"/>
                <w:b/>
                <w:bCs/>
                <w:color w:val="000000"/>
                <w:sz w:val="22"/>
                <w:szCs w:val="22"/>
              </w:rPr>
              <w:t>Limite</w:t>
            </w:r>
          </w:p>
        </w:tc>
        <w:tc>
          <w:tcPr>
            <w:tcW w:w="1720" w:type="dxa"/>
            <w:tcBorders>
              <w:top w:val="single" w:sz="4" w:space="0" w:color="auto"/>
              <w:left w:val="nil"/>
              <w:bottom w:val="nil"/>
              <w:right w:val="single" w:sz="4" w:space="0" w:color="auto"/>
            </w:tcBorders>
            <w:shd w:val="clear" w:color="auto" w:fill="auto"/>
            <w:noWrap/>
            <w:vAlign w:val="bottom"/>
            <w:hideMark/>
          </w:tcPr>
          <w:p w14:paraId="0C80CEC5" w14:textId="77777777" w:rsidR="00216C30" w:rsidRPr="00216C30" w:rsidRDefault="00216C30" w:rsidP="00C06B65">
            <w:pPr>
              <w:jc w:val="right"/>
              <w:rPr>
                <w:rFonts w:ascii="Arial" w:hAnsi="Arial" w:cs="Arial"/>
                <w:b/>
                <w:bCs/>
                <w:color w:val="000000"/>
                <w:sz w:val="22"/>
                <w:szCs w:val="22"/>
              </w:rPr>
            </w:pPr>
            <w:r>
              <w:rPr>
                <w:rFonts w:ascii="Arial" w:hAnsi="Arial"/>
                <w:b/>
                <w:bCs/>
                <w:color w:val="000000"/>
                <w:sz w:val="22"/>
                <w:szCs w:val="22"/>
              </w:rPr>
              <w:t>Répercussions</w:t>
            </w:r>
          </w:p>
        </w:tc>
      </w:tr>
      <w:tr w:rsidR="00216C30" w:rsidRPr="00424CC3" w14:paraId="417BF3F8" w14:textId="77777777" w:rsidTr="00216C30">
        <w:trPr>
          <w:trHeight w:val="315"/>
        </w:trPr>
        <w:tc>
          <w:tcPr>
            <w:tcW w:w="3540" w:type="dxa"/>
            <w:tcBorders>
              <w:top w:val="nil"/>
              <w:left w:val="single" w:sz="4" w:space="0" w:color="auto"/>
              <w:bottom w:val="nil"/>
              <w:right w:val="nil"/>
            </w:tcBorders>
            <w:shd w:val="clear" w:color="auto" w:fill="auto"/>
            <w:noWrap/>
            <w:vAlign w:val="bottom"/>
            <w:hideMark/>
          </w:tcPr>
          <w:p w14:paraId="5AA278B1" w14:textId="77777777" w:rsidR="00216C30" w:rsidRPr="00216C30" w:rsidRDefault="00216C30" w:rsidP="0032546F">
            <w:pPr>
              <w:jc w:val="left"/>
              <w:rPr>
                <w:rFonts w:ascii="Arial" w:hAnsi="Arial" w:cs="Arial"/>
                <w:color w:val="000000"/>
                <w:sz w:val="22"/>
                <w:szCs w:val="22"/>
              </w:rPr>
            </w:pPr>
            <w:r>
              <w:rPr>
                <w:rFonts w:ascii="Arial" w:hAnsi="Arial"/>
                <w:color w:val="000000"/>
                <w:sz w:val="22"/>
                <w:szCs w:val="22"/>
              </w:rPr>
              <w:t>Revenu net d'intérêts</w:t>
            </w:r>
          </w:p>
        </w:tc>
        <w:tc>
          <w:tcPr>
            <w:tcW w:w="1820" w:type="dxa"/>
            <w:tcBorders>
              <w:top w:val="nil"/>
              <w:left w:val="nil"/>
              <w:bottom w:val="nil"/>
              <w:right w:val="nil"/>
            </w:tcBorders>
            <w:shd w:val="clear" w:color="000000" w:fill="BFBFBF"/>
            <w:noWrap/>
            <w:vAlign w:val="bottom"/>
            <w:hideMark/>
          </w:tcPr>
          <w:p w14:paraId="25FCFA51" w14:textId="77777777" w:rsidR="00216C30" w:rsidRPr="00216C30" w:rsidRDefault="00216C30" w:rsidP="00C06B65">
            <w:pPr>
              <w:jc w:val="right"/>
              <w:rPr>
                <w:rFonts w:ascii="Arial" w:hAnsi="Arial" w:cs="Arial"/>
                <w:color w:val="000000"/>
                <w:sz w:val="22"/>
                <w:szCs w:val="22"/>
              </w:rPr>
            </w:pPr>
            <w:r>
              <w:rPr>
                <w:rFonts w:ascii="Arial" w:hAnsi="Arial"/>
                <w:color w:val="000000"/>
                <w:sz w:val="22"/>
                <w:szCs w:val="22"/>
              </w:rPr>
              <w:t>20 %</w:t>
            </w:r>
          </w:p>
        </w:tc>
        <w:tc>
          <w:tcPr>
            <w:tcW w:w="1720" w:type="dxa"/>
            <w:tcBorders>
              <w:top w:val="nil"/>
              <w:left w:val="nil"/>
              <w:bottom w:val="nil"/>
              <w:right w:val="single" w:sz="4" w:space="0" w:color="auto"/>
            </w:tcBorders>
            <w:shd w:val="clear" w:color="auto" w:fill="auto"/>
            <w:noWrap/>
            <w:vAlign w:val="bottom"/>
            <w:hideMark/>
          </w:tcPr>
          <w:p w14:paraId="751BAAFF" w14:textId="5CCE0D5A" w:rsidR="00216C30" w:rsidRPr="00216C30" w:rsidRDefault="009469ED" w:rsidP="00735AD2">
            <w:pPr>
              <w:jc w:val="right"/>
              <w:rPr>
                <w:rFonts w:ascii="Arial" w:hAnsi="Arial" w:cs="Arial"/>
                <w:color w:val="000000"/>
                <w:sz w:val="22"/>
                <w:szCs w:val="22"/>
              </w:rPr>
            </w:pPr>
            <w:r>
              <w:rPr>
                <w:rFonts w:ascii="Arial" w:hAnsi="Arial"/>
                <w:color w:val="000000"/>
                <w:sz w:val="22"/>
                <w:szCs w:val="22"/>
              </w:rPr>
              <w:t>1 %</w:t>
            </w:r>
          </w:p>
        </w:tc>
      </w:tr>
      <w:tr w:rsidR="00216C30" w:rsidRPr="00424CC3" w14:paraId="7DCAE8A4" w14:textId="77777777" w:rsidTr="00216C30">
        <w:trPr>
          <w:trHeight w:val="300"/>
        </w:trPr>
        <w:tc>
          <w:tcPr>
            <w:tcW w:w="3540" w:type="dxa"/>
            <w:tcBorders>
              <w:top w:val="nil"/>
              <w:left w:val="single" w:sz="4" w:space="0" w:color="auto"/>
              <w:bottom w:val="single" w:sz="4" w:space="0" w:color="auto"/>
              <w:right w:val="nil"/>
            </w:tcBorders>
            <w:shd w:val="clear" w:color="auto" w:fill="auto"/>
            <w:noWrap/>
            <w:vAlign w:val="bottom"/>
            <w:hideMark/>
          </w:tcPr>
          <w:p w14:paraId="4B4B4A55" w14:textId="77777777" w:rsidR="00216C30" w:rsidRPr="00216C30" w:rsidRDefault="00216C30" w:rsidP="00C06B65">
            <w:pPr>
              <w:jc w:val="left"/>
              <w:rPr>
                <w:rFonts w:ascii="Arial" w:hAnsi="Arial" w:cs="Arial"/>
                <w:color w:val="000000"/>
                <w:sz w:val="22"/>
                <w:szCs w:val="22"/>
              </w:rPr>
            </w:pPr>
            <w:r>
              <w:rPr>
                <w:rFonts w:ascii="Arial" w:hAnsi="Arial"/>
                <w:color w:val="000000"/>
                <w:sz w:val="22"/>
                <w:szCs w:val="22"/>
              </w:rPr>
              <w:t>Valeur économique nette</w:t>
            </w:r>
          </w:p>
        </w:tc>
        <w:tc>
          <w:tcPr>
            <w:tcW w:w="1820" w:type="dxa"/>
            <w:tcBorders>
              <w:top w:val="nil"/>
              <w:left w:val="nil"/>
              <w:bottom w:val="single" w:sz="4" w:space="0" w:color="auto"/>
              <w:right w:val="nil"/>
            </w:tcBorders>
            <w:shd w:val="clear" w:color="000000" w:fill="BFBFBF"/>
            <w:noWrap/>
            <w:vAlign w:val="bottom"/>
            <w:hideMark/>
          </w:tcPr>
          <w:p w14:paraId="226F8588" w14:textId="77777777" w:rsidR="00216C30" w:rsidRPr="00216C30" w:rsidRDefault="00216C30" w:rsidP="00C06B65">
            <w:pPr>
              <w:jc w:val="right"/>
              <w:rPr>
                <w:rFonts w:ascii="Arial" w:hAnsi="Arial" w:cs="Arial"/>
                <w:color w:val="000000"/>
                <w:sz w:val="22"/>
                <w:szCs w:val="22"/>
              </w:rPr>
            </w:pPr>
            <w:r>
              <w:rPr>
                <w:rFonts w:ascii="Arial" w:hAnsi="Arial"/>
                <w:color w:val="000000"/>
                <w:sz w:val="22"/>
                <w:szCs w:val="22"/>
              </w:rPr>
              <w:t>12 %</w:t>
            </w:r>
          </w:p>
        </w:tc>
        <w:tc>
          <w:tcPr>
            <w:tcW w:w="1720" w:type="dxa"/>
            <w:tcBorders>
              <w:top w:val="nil"/>
              <w:left w:val="nil"/>
              <w:bottom w:val="single" w:sz="4" w:space="0" w:color="auto"/>
              <w:right w:val="single" w:sz="4" w:space="0" w:color="auto"/>
            </w:tcBorders>
            <w:shd w:val="clear" w:color="auto" w:fill="auto"/>
            <w:noWrap/>
            <w:vAlign w:val="bottom"/>
            <w:hideMark/>
          </w:tcPr>
          <w:p w14:paraId="2B628667" w14:textId="77777777" w:rsidR="00216C30" w:rsidRPr="00216C30" w:rsidRDefault="00B7293E" w:rsidP="00216C30">
            <w:pPr>
              <w:jc w:val="right"/>
              <w:rPr>
                <w:rFonts w:ascii="Arial" w:hAnsi="Arial" w:cs="Arial"/>
                <w:color w:val="000000"/>
                <w:sz w:val="22"/>
                <w:szCs w:val="22"/>
              </w:rPr>
            </w:pPr>
            <w:r>
              <w:rPr>
                <w:rFonts w:ascii="Arial" w:hAnsi="Arial"/>
                <w:color w:val="000000"/>
                <w:sz w:val="22"/>
                <w:szCs w:val="22"/>
              </w:rPr>
              <w:t>4 %</w:t>
            </w:r>
          </w:p>
        </w:tc>
      </w:tr>
    </w:tbl>
    <w:p w14:paraId="6C4BE9DD" w14:textId="77777777" w:rsidR="00C06B65" w:rsidRPr="00216C30" w:rsidRDefault="00C06B65" w:rsidP="0088253B">
      <w:pPr>
        <w:rPr>
          <w:rFonts w:ascii="Arial" w:hAnsi="Arial" w:cs="Arial"/>
          <w:lang w:val="en-US"/>
        </w:rPr>
      </w:pPr>
    </w:p>
    <w:p w14:paraId="3757C117" w14:textId="77777777" w:rsidR="00712B44" w:rsidRDefault="00712B44" w:rsidP="0088253B">
      <w:pPr>
        <w:rPr>
          <w:lang w:val="en-US"/>
        </w:rPr>
      </w:pPr>
    </w:p>
    <w:p w14:paraId="3C97684C" w14:textId="77777777" w:rsidR="00712B44" w:rsidRDefault="00712B44" w:rsidP="0088253B">
      <w:pPr>
        <w:rPr>
          <w:lang w:val="en-US"/>
        </w:rPr>
      </w:pPr>
    </w:p>
    <w:p w14:paraId="1788F664" w14:textId="03D1328C" w:rsidR="00A15C39" w:rsidRDefault="00A15C39">
      <w:pPr>
        <w:jc w:val="left"/>
      </w:pPr>
      <w:r>
        <w:br w:type="page"/>
      </w:r>
    </w:p>
    <w:p w14:paraId="256F1087" w14:textId="77777777" w:rsidR="00A15C39" w:rsidRPr="001B51E3" w:rsidRDefault="00A15C39" w:rsidP="00A15C39">
      <w:pPr>
        <w:pStyle w:val="Heading1"/>
        <w:tabs>
          <w:tab w:val="left" w:pos="90"/>
        </w:tabs>
        <w:ind w:left="90" w:hanging="90"/>
        <w:rPr>
          <w:rFonts w:ascii="Arial" w:hAnsi="Arial" w:cs="Arial"/>
        </w:rPr>
      </w:pPr>
      <w:bookmarkStart w:id="48" w:name="_Toc269658"/>
      <w:bookmarkStart w:id="49" w:name="_Toc504640563"/>
      <w:bookmarkStart w:id="50" w:name="_Toc440635183"/>
      <w:bookmarkStart w:id="51" w:name="_Toc409688839"/>
      <w:bookmarkStart w:id="52" w:name="_Toc39172717"/>
      <w:r>
        <w:rPr>
          <w:rFonts w:ascii="Arial" w:hAnsi="Arial"/>
        </w:rPr>
        <w:lastRenderedPageBreak/>
        <w:t>ANNEXE D : RÉMUNÉRATION</w:t>
      </w:r>
      <w:bookmarkEnd w:id="48"/>
      <w:bookmarkEnd w:id="49"/>
      <w:bookmarkEnd w:id="50"/>
      <w:bookmarkEnd w:id="51"/>
      <w:bookmarkEnd w:id="52"/>
    </w:p>
    <w:p w14:paraId="30D9CDCE" w14:textId="77777777" w:rsidR="00A15C39" w:rsidRPr="001B51E3" w:rsidRDefault="00A15C39" w:rsidP="00A15C39">
      <w:pPr>
        <w:pStyle w:val="Default"/>
        <w:jc w:val="both"/>
        <w:rPr>
          <w:rFonts w:ascii="Times New Roman" w:hAnsi="Times New Roman" w:cs="Times New Roman"/>
          <w:b/>
        </w:rPr>
      </w:pPr>
    </w:p>
    <w:p w14:paraId="2EB92B9B" w14:textId="77777777" w:rsidR="00A15C39" w:rsidRPr="001B51E3" w:rsidRDefault="00A15C39" w:rsidP="00A15C39">
      <w:pPr>
        <w:pStyle w:val="Default"/>
        <w:jc w:val="both"/>
        <w:rPr>
          <w:rFonts w:ascii="Arial" w:hAnsi="Arial" w:cs="Arial"/>
          <w:b/>
          <w:bCs/>
        </w:rPr>
      </w:pPr>
      <w:r>
        <w:rPr>
          <w:rFonts w:ascii="Arial" w:hAnsi="Arial"/>
          <w:b/>
          <w:bCs/>
        </w:rPr>
        <w:t xml:space="preserve">APERÇU DES ÉLÉMENTS DE RÉMUNÉRATION </w:t>
      </w:r>
    </w:p>
    <w:p w14:paraId="10CAB600" w14:textId="77777777" w:rsidR="00A15C39" w:rsidRPr="00AD6B25" w:rsidRDefault="00A15C39" w:rsidP="00A15C39">
      <w:pPr>
        <w:pStyle w:val="Default"/>
        <w:rPr>
          <w:rFonts w:ascii="Arial" w:hAnsi="Arial" w:cs="Arial"/>
          <w:b/>
          <w:highlight w:val="yellow"/>
        </w:rPr>
      </w:pPr>
    </w:p>
    <w:p w14:paraId="4E744686" w14:textId="77777777" w:rsidR="001B51E3" w:rsidRDefault="001B51E3" w:rsidP="001B51E3">
      <w:pPr>
        <w:pStyle w:val="Default"/>
        <w:jc w:val="both"/>
        <w:rPr>
          <w:rFonts w:ascii="Arial" w:hAnsi="Arial" w:cs="Arial"/>
        </w:rPr>
      </w:pPr>
      <w:r>
        <w:rPr>
          <w:rFonts w:ascii="Arial" w:hAnsi="Arial"/>
        </w:rPr>
        <w:t xml:space="preserve">La Banque structure son approche d’une rémunération devant être établie aux pratiques du marché pour l’industrie des services financiers tout en adhérant aux exigences réglementaires connexes.  Les récompenses varient selon les objectifs de rendement de l'entreprise et sont structurées de façon à encourager les associés à satisfaire les objectifs stratégiques.  </w:t>
      </w:r>
    </w:p>
    <w:p w14:paraId="710BFB8D" w14:textId="77777777" w:rsidR="00A15C39" w:rsidRPr="00AD6B25" w:rsidRDefault="00A15C39" w:rsidP="00A15C39">
      <w:pPr>
        <w:pStyle w:val="Default"/>
        <w:jc w:val="both"/>
        <w:rPr>
          <w:rFonts w:ascii="Arial" w:hAnsi="Arial" w:cs="Arial"/>
          <w:highlight w:val="yellow"/>
        </w:rPr>
      </w:pPr>
    </w:p>
    <w:p w14:paraId="46B63308" w14:textId="50EFB4CF" w:rsidR="000032FB" w:rsidRPr="000032FB" w:rsidRDefault="000032FB" w:rsidP="000032FB">
      <w:pPr>
        <w:pStyle w:val="Default"/>
        <w:jc w:val="both"/>
        <w:rPr>
          <w:rFonts w:ascii="Arial" w:hAnsi="Arial" w:cs="Arial"/>
        </w:rPr>
      </w:pPr>
      <w:r>
        <w:rPr>
          <w:rFonts w:ascii="Arial" w:hAnsi="Arial"/>
        </w:rPr>
        <w:t>La rémunération des membres de la haute direction est supervisée par le comité de direction du conseil d’administ</w:t>
      </w:r>
      <w:r w:rsidR="000A4AD5">
        <w:rPr>
          <w:rFonts w:ascii="Arial" w:hAnsi="Arial"/>
        </w:rPr>
        <w:t>r</w:t>
      </w:r>
      <w:r>
        <w:rPr>
          <w:rFonts w:ascii="Arial" w:hAnsi="Arial"/>
        </w:rPr>
        <w:t>ation composé présentement de trois membres. Aucun des membres du comité de direction est agent ou employé de la Banque.</w:t>
      </w:r>
    </w:p>
    <w:p w14:paraId="15415A66" w14:textId="77777777" w:rsidR="00A15C39" w:rsidRPr="00AD6B25" w:rsidRDefault="00A15C39" w:rsidP="00A15C39">
      <w:pPr>
        <w:pStyle w:val="Default"/>
        <w:jc w:val="both"/>
        <w:rPr>
          <w:rFonts w:ascii="Arial" w:hAnsi="Arial" w:cs="Arial"/>
          <w:highlight w:val="yellow"/>
        </w:rPr>
      </w:pPr>
    </w:p>
    <w:p w14:paraId="3B208EAA" w14:textId="7F683712" w:rsidR="001B51E3" w:rsidRPr="0029714F" w:rsidRDefault="001B51E3" w:rsidP="001B51E3">
      <w:pPr>
        <w:pStyle w:val="Default"/>
        <w:jc w:val="both"/>
        <w:rPr>
          <w:rFonts w:ascii="Arial" w:hAnsi="Arial" w:cs="Arial"/>
        </w:rPr>
      </w:pPr>
      <w:r>
        <w:rPr>
          <w:rFonts w:ascii="Arial" w:hAnsi="Arial"/>
        </w:rPr>
        <w:t>La rémunération des membres de la haute direction comprend un salaire de base, un programme de prime en espèces à court terme et un autre programme de reconnaissance à moyen terme.  Le salaire de base de tous les collègues est réévalué chaque année et comme exigé par les conditions du marché.</w:t>
      </w:r>
    </w:p>
    <w:p w14:paraId="3571DB2B" w14:textId="692BE77B" w:rsidR="00A15C39" w:rsidRDefault="00A15C39" w:rsidP="00A15C39">
      <w:pPr>
        <w:pStyle w:val="Default"/>
        <w:jc w:val="both"/>
        <w:rPr>
          <w:rFonts w:ascii="Times New Roman" w:hAnsi="Times New Roman" w:cs="Times New Roman"/>
        </w:rPr>
      </w:pPr>
    </w:p>
    <w:p w14:paraId="72FA4D47" w14:textId="2596DEEA" w:rsidR="000032FB" w:rsidRPr="00AD6B25" w:rsidRDefault="000032FB" w:rsidP="000032FB">
      <w:pPr>
        <w:pStyle w:val="Default"/>
        <w:jc w:val="both"/>
        <w:rPr>
          <w:rFonts w:ascii="Arial" w:hAnsi="Arial" w:cs="Arial"/>
          <w:highlight w:val="yellow"/>
        </w:rPr>
      </w:pPr>
      <w:r>
        <w:rPr>
          <w:rFonts w:ascii="Arial" w:hAnsi="Arial"/>
        </w:rPr>
        <w:t>Toutes les personnes prenant des décisions à risques importants sont membres de l'équipe de haute direction de La Banque qui est composée de 5 associés.</w:t>
      </w:r>
    </w:p>
    <w:p w14:paraId="6BF1D4D7" w14:textId="077383F9" w:rsidR="00A15C39" w:rsidRDefault="00A15C39" w:rsidP="00A15C39">
      <w:pPr>
        <w:pStyle w:val="Default"/>
        <w:jc w:val="both"/>
        <w:rPr>
          <w:rFonts w:ascii="Times New Roman" w:hAnsi="Times New Roman" w:cs="Times New Roman"/>
          <w:b/>
          <w:bCs/>
        </w:rPr>
      </w:pPr>
    </w:p>
    <w:p w14:paraId="759A9F93" w14:textId="77777777" w:rsidR="000032FB" w:rsidRDefault="000032FB" w:rsidP="00A15C39">
      <w:pPr>
        <w:pStyle w:val="Default"/>
        <w:jc w:val="both"/>
        <w:rPr>
          <w:rFonts w:ascii="Times New Roman" w:hAnsi="Times New Roman" w:cs="Times New Roman"/>
          <w:b/>
          <w:bCs/>
        </w:rPr>
      </w:pPr>
    </w:p>
    <w:p w14:paraId="377F1C3D" w14:textId="77777777" w:rsidR="00A15C39" w:rsidRPr="001B51E3" w:rsidRDefault="00A15C39" w:rsidP="00A15C39">
      <w:pPr>
        <w:pStyle w:val="Default"/>
        <w:jc w:val="both"/>
        <w:rPr>
          <w:rFonts w:ascii="Arial" w:hAnsi="Arial" w:cs="Arial"/>
          <w:b/>
          <w:bCs/>
        </w:rPr>
      </w:pPr>
      <w:r>
        <w:rPr>
          <w:rFonts w:ascii="Arial" w:hAnsi="Arial"/>
          <w:b/>
          <w:bCs/>
        </w:rPr>
        <w:t xml:space="preserve">PROGRAMME DE RECONNAISSANCE À COURT TERME </w:t>
      </w:r>
    </w:p>
    <w:p w14:paraId="226B2BCD" w14:textId="77777777" w:rsidR="00A15C39" w:rsidRPr="00AD6B25" w:rsidRDefault="00A15C39" w:rsidP="00A15C39">
      <w:pPr>
        <w:pStyle w:val="Default"/>
        <w:jc w:val="both"/>
        <w:rPr>
          <w:rFonts w:ascii="Arial" w:hAnsi="Arial" w:cs="Arial"/>
          <w:highlight w:val="yellow"/>
        </w:rPr>
      </w:pPr>
    </w:p>
    <w:p w14:paraId="268FBD69" w14:textId="56D4AB47" w:rsidR="001B51E3" w:rsidRPr="0029714F" w:rsidRDefault="001B51E3" w:rsidP="001B51E3">
      <w:pPr>
        <w:pStyle w:val="Default"/>
        <w:jc w:val="both"/>
        <w:rPr>
          <w:rFonts w:ascii="Arial" w:hAnsi="Arial" w:cs="Arial"/>
        </w:rPr>
      </w:pPr>
      <w:r>
        <w:rPr>
          <w:rFonts w:ascii="Arial" w:hAnsi="Arial"/>
        </w:rPr>
        <w:t xml:space="preserve">Le programme de reconnaissance à court terme de la Banque s'appelle Prime de reconnaissance annuelle et a été créé pour motiver les membres de la haute direction à réaliser les objectifs commerciaux et financiers annuels.  Il s'agit d'un programme de reconnaissance variable fondé sur le versement d'argent. </w:t>
      </w:r>
    </w:p>
    <w:p w14:paraId="26947440" w14:textId="77777777" w:rsidR="00A15C39" w:rsidRPr="00AD6B25" w:rsidRDefault="00A15C39" w:rsidP="00A15C39">
      <w:pPr>
        <w:pStyle w:val="Default"/>
        <w:jc w:val="both"/>
        <w:rPr>
          <w:rFonts w:ascii="Arial" w:hAnsi="Arial" w:cs="Arial"/>
          <w:highlight w:val="yellow"/>
        </w:rPr>
      </w:pPr>
    </w:p>
    <w:p w14:paraId="48F94ABF" w14:textId="6FD151E3" w:rsidR="000032FB" w:rsidRPr="0029714F" w:rsidRDefault="000032FB" w:rsidP="000032FB">
      <w:pPr>
        <w:pStyle w:val="Default"/>
        <w:jc w:val="both"/>
        <w:rPr>
          <w:rFonts w:ascii="Arial" w:hAnsi="Arial" w:cs="Arial"/>
        </w:rPr>
      </w:pPr>
      <w:r>
        <w:rPr>
          <w:rFonts w:ascii="Arial" w:hAnsi="Arial"/>
        </w:rPr>
        <w:t xml:space="preserve">À chaque exercice financier, les résultats commerciaux sont évalués par rapport aux objectifs financiers et de </w:t>
      </w:r>
      <w:proofErr w:type="gramStart"/>
      <w:r>
        <w:rPr>
          <w:rFonts w:ascii="Arial" w:hAnsi="Arial"/>
        </w:rPr>
        <w:t>rendement</w:t>
      </w:r>
      <w:r w:rsidR="00263E65">
        <w:rPr>
          <w:rFonts w:ascii="Arial" w:hAnsi="Arial"/>
        </w:rPr>
        <w:t xml:space="preserve"> </w:t>
      </w:r>
      <w:r>
        <w:rPr>
          <w:rFonts w:ascii="Arial" w:hAnsi="Arial"/>
        </w:rPr>
        <w:t>spécifiques</w:t>
      </w:r>
      <w:proofErr w:type="gramEnd"/>
      <w:r>
        <w:rPr>
          <w:rFonts w:ascii="Arial" w:hAnsi="Arial"/>
        </w:rPr>
        <w:t>.</w:t>
      </w:r>
      <w:r w:rsidR="006B1F70">
        <w:rPr>
          <w:rFonts w:ascii="Arial" w:hAnsi="Arial"/>
        </w:rPr>
        <w:t xml:space="preserve"> </w:t>
      </w:r>
      <w:r>
        <w:rPr>
          <w:rFonts w:ascii="Arial" w:hAnsi="Arial"/>
        </w:rPr>
        <w:t xml:space="preserve">Pour éviter des risques inappropriés, le programme de prime de reconnaissance annuelle des membres de la haute direction est basé sur le rendement financier par rapport à diverses mesures. Cette approche universelle en matière de primes assure l'harmonisation au sein de l'équipe de haute direction et réduit le nombre de risques qui surviennent lorsque le personnel de la haute direction a des objectifs de rendement individuels. </w:t>
      </w:r>
      <w:r w:rsidR="00C17B68">
        <w:rPr>
          <w:rFonts w:ascii="Arial" w:hAnsi="Arial"/>
        </w:rPr>
        <w:t>L</w:t>
      </w:r>
      <w:r>
        <w:rPr>
          <w:rFonts w:ascii="Arial" w:hAnsi="Arial"/>
        </w:rPr>
        <w:t xml:space="preserve">es personnes ayant des fonctions de contrôle et de gestion au sein de la Banque ont des objectifs </w:t>
      </w:r>
      <w:r w:rsidR="009E56D8">
        <w:rPr>
          <w:rFonts w:ascii="Arial" w:hAnsi="Arial"/>
        </w:rPr>
        <w:t>conform</w:t>
      </w:r>
      <w:r w:rsidR="000E57F6">
        <w:rPr>
          <w:rFonts w:ascii="Arial" w:hAnsi="Arial"/>
        </w:rPr>
        <w:t>es</w:t>
      </w:r>
      <w:r w:rsidR="009E56D8">
        <w:rPr>
          <w:rFonts w:ascii="Arial" w:hAnsi="Arial"/>
        </w:rPr>
        <w:t xml:space="preserve"> à leur mandat</w:t>
      </w:r>
      <w:r>
        <w:rPr>
          <w:rFonts w:ascii="Arial" w:hAnsi="Arial"/>
        </w:rPr>
        <w:t>.</w:t>
      </w:r>
    </w:p>
    <w:p w14:paraId="36CBC98E" w14:textId="77777777" w:rsidR="00A15C39" w:rsidRPr="00AD6B25" w:rsidRDefault="00A15C39" w:rsidP="00A15C39">
      <w:pPr>
        <w:pStyle w:val="Default"/>
        <w:jc w:val="both"/>
        <w:rPr>
          <w:rFonts w:ascii="Arial" w:hAnsi="Arial" w:cs="Arial"/>
          <w:highlight w:val="yellow"/>
        </w:rPr>
      </w:pPr>
    </w:p>
    <w:p w14:paraId="4C707A86" w14:textId="77777777" w:rsidR="001B51E3" w:rsidRPr="0029714F" w:rsidRDefault="001B51E3" w:rsidP="001B51E3">
      <w:pPr>
        <w:pStyle w:val="Default"/>
        <w:jc w:val="both"/>
        <w:rPr>
          <w:rFonts w:ascii="Arial" w:hAnsi="Arial" w:cs="Arial"/>
        </w:rPr>
      </w:pPr>
      <w:r>
        <w:rPr>
          <w:rFonts w:ascii="Arial" w:hAnsi="Arial"/>
        </w:rPr>
        <w:t xml:space="preserve">La prime de reconnaissance annuelle est un programme autofinancé qui représente un pourcentage du salaire de base déterminé par le poste et le niveau au sein de l'entreprise. En fonction du rendement actuel par rapport aux objectifs de rendement établis, les versements peuvent aller de zéro à l'objectif maximal de chaque échelle. </w:t>
      </w:r>
    </w:p>
    <w:p w14:paraId="4828D58F" w14:textId="77777777" w:rsidR="00A15C39" w:rsidRPr="00AD6B25" w:rsidRDefault="00A15C39" w:rsidP="00A15C39">
      <w:pPr>
        <w:pStyle w:val="Default"/>
        <w:jc w:val="both"/>
        <w:rPr>
          <w:rFonts w:ascii="Arial" w:hAnsi="Arial" w:cs="Arial"/>
        </w:rPr>
      </w:pPr>
    </w:p>
    <w:p w14:paraId="0100501E" w14:textId="77777777" w:rsidR="000E57F6" w:rsidRDefault="000E57F6" w:rsidP="00A15C39">
      <w:pPr>
        <w:pStyle w:val="Default"/>
        <w:jc w:val="both"/>
        <w:rPr>
          <w:rFonts w:ascii="Arial" w:hAnsi="Arial"/>
          <w:b/>
          <w:bCs/>
          <w:highlight w:val="yellow"/>
        </w:rPr>
      </w:pPr>
    </w:p>
    <w:p w14:paraId="7148B730" w14:textId="769D061C" w:rsidR="00A15C39" w:rsidRPr="00AD6B25" w:rsidRDefault="001B3D29" w:rsidP="00A15C39">
      <w:pPr>
        <w:pStyle w:val="Default"/>
        <w:jc w:val="both"/>
        <w:rPr>
          <w:rFonts w:ascii="Arial" w:hAnsi="Arial" w:cs="Arial"/>
          <w:b/>
          <w:bCs/>
          <w:highlight w:val="yellow"/>
        </w:rPr>
      </w:pPr>
      <w:r>
        <w:rPr>
          <w:rFonts w:ascii="Arial" w:hAnsi="Arial"/>
          <w:b/>
          <w:bCs/>
          <w:highlight w:val="yellow"/>
        </w:rPr>
        <w:lastRenderedPageBreak/>
        <w:br/>
      </w:r>
      <w:r>
        <w:rPr>
          <w:rFonts w:ascii="Arial" w:hAnsi="Arial"/>
          <w:b/>
          <w:bCs/>
        </w:rPr>
        <w:t>Programme de reconnaissance à moyen terme</w:t>
      </w:r>
    </w:p>
    <w:p w14:paraId="0DA8986A" w14:textId="77777777" w:rsidR="00A15C39" w:rsidRPr="00AD6B25" w:rsidRDefault="00A15C39" w:rsidP="00A15C39">
      <w:pPr>
        <w:pStyle w:val="Default"/>
        <w:jc w:val="both"/>
        <w:rPr>
          <w:rFonts w:ascii="Arial" w:hAnsi="Arial" w:cs="Arial"/>
          <w:highlight w:val="yellow"/>
        </w:rPr>
      </w:pPr>
    </w:p>
    <w:p w14:paraId="1A76062E" w14:textId="4678DBD9" w:rsidR="001B51E3" w:rsidRPr="0029714F" w:rsidRDefault="00063019" w:rsidP="001B51E3">
      <w:pPr>
        <w:pStyle w:val="Default"/>
        <w:jc w:val="both"/>
        <w:rPr>
          <w:rFonts w:ascii="Arial" w:hAnsi="Arial" w:cs="Arial"/>
        </w:rPr>
      </w:pPr>
      <w:r>
        <w:rPr>
          <w:rFonts w:ascii="Arial" w:hAnsi="Arial"/>
        </w:rPr>
        <w:t>Le programme de reconnaissance à moyen terme de la Banque (PRMT) fait partie de la structure de rémunération globale de la haute direction. Les membres de la haute direction participent au programme basé sur des versements en espèces qui devient acquis et paie sur une période de 3 ans. Les récompenses accordées en avril de l’année de référence (c’est-à-dire 2019) seraient versées en espèces en décembre 2021 conformément aux règles du programme.  Les récompenses sont accordées en fonction d’un pourcentage du salaire et du rendement financier par rapport aux objectifs annuels.  Le versement repose sur les résultats du rendement en capitaux propres sur 3 ans appliqués au montant original accordé.</w:t>
      </w:r>
    </w:p>
    <w:p w14:paraId="0758C478" w14:textId="77777777" w:rsidR="001B51E3" w:rsidRPr="0029714F" w:rsidRDefault="001B51E3" w:rsidP="001B51E3">
      <w:pPr>
        <w:rPr>
          <w:rFonts w:ascii="Arial" w:hAnsi="Arial" w:cs="Arial"/>
        </w:rPr>
      </w:pPr>
    </w:p>
    <w:p w14:paraId="49103BAB" w14:textId="0BCBA7B8" w:rsidR="00C235D5" w:rsidRDefault="00E84AEE" w:rsidP="001B51E3">
      <w:pPr>
        <w:pStyle w:val="textnotes"/>
        <w:rPr>
          <w:rFonts w:ascii="Arial" w:hAnsi="Arial" w:cs="Arial"/>
          <w:sz w:val="24"/>
          <w:szCs w:val="24"/>
        </w:rPr>
      </w:pPr>
      <w:r>
        <w:rPr>
          <w:rFonts w:ascii="Arial" w:hAnsi="Arial" w:cs="Arial"/>
          <w:sz w:val="24"/>
          <w:szCs w:val="24"/>
        </w:rPr>
        <w:t xml:space="preserve">Tableau de la rémunération </w:t>
      </w:r>
    </w:p>
    <w:p w14:paraId="1EEDF7EA" w14:textId="77777777" w:rsidR="00E84AEE" w:rsidRPr="00780C43" w:rsidRDefault="00E84AEE" w:rsidP="001B51E3">
      <w:pPr>
        <w:pStyle w:val="textnotes"/>
        <w:rPr>
          <w:rFonts w:ascii="Arial" w:hAnsi="Arial" w:cs="Arial"/>
          <w:sz w:val="24"/>
          <w:szCs w:val="24"/>
        </w:rPr>
      </w:pPr>
    </w:p>
    <w:p w14:paraId="7375DBE0" w14:textId="06BC32A5" w:rsidR="001B51E3" w:rsidRPr="0029714F" w:rsidRDefault="00967717" w:rsidP="001B51E3">
      <w:pPr>
        <w:pStyle w:val="textnotes"/>
        <w:rPr>
          <w:rFonts w:ascii="Arial" w:hAnsi="Arial" w:cs="Arial"/>
          <w:sz w:val="24"/>
          <w:szCs w:val="24"/>
        </w:rPr>
      </w:pPr>
      <w:r>
        <w:rPr>
          <w:rFonts w:ascii="Arial" w:hAnsi="Arial"/>
          <w:sz w:val="24"/>
          <w:szCs w:val="24"/>
        </w:rPr>
        <w:t xml:space="preserve">En raison de la taille de l’entreprise et afin d’assurer la confidentialité, les </w:t>
      </w:r>
      <w:r w:rsidR="001B51E3">
        <w:rPr>
          <w:rFonts w:ascii="Arial" w:hAnsi="Arial"/>
          <w:sz w:val="24"/>
          <w:szCs w:val="24"/>
        </w:rPr>
        <w:t xml:space="preserve">détails </w:t>
      </w:r>
      <w:r>
        <w:rPr>
          <w:rFonts w:ascii="Arial" w:hAnsi="Arial"/>
          <w:sz w:val="24"/>
          <w:szCs w:val="24"/>
        </w:rPr>
        <w:t>pour</w:t>
      </w:r>
      <w:r w:rsidR="001B51E3">
        <w:rPr>
          <w:rFonts w:ascii="Arial" w:hAnsi="Arial"/>
          <w:sz w:val="24"/>
          <w:szCs w:val="24"/>
        </w:rPr>
        <w:t xml:space="preserve"> </w:t>
      </w:r>
      <w:r>
        <w:rPr>
          <w:rFonts w:ascii="Arial" w:hAnsi="Arial"/>
          <w:sz w:val="24"/>
          <w:szCs w:val="24"/>
        </w:rPr>
        <w:t>l’ensemble de l’entreprise</w:t>
      </w:r>
      <w:r w:rsidR="001B51E3">
        <w:rPr>
          <w:rFonts w:ascii="Arial" w:hAnsi="Arial"/>
          <w:sz w:val="24"/>
          <w:szCs w:val="24"/>
        </w:rPr>
        <w:t xml:space="preserve"> sont définis ci-dessous : </w:t>
      </w:r>
    </w:p>
    <w:p w14:paraId="1CC7CFAF" w14:textId="3877212D" w:rsidR="001B51E3" w:rsidRDefault="001B51E3" w:rsidP="00A15C39">
      <w:pPr>
        <w:pStyle w:val="Default"/>
        <w:jc w:val="both"/>
        <w:rPr>
          <w:rFonts w:ascii="Arial" w:hAnsi="Arial" w:cs="Arial"/>
          <w:highlight w:val="yellow"/>
        </w:rPr>
      </w:pPr>
    </w:p>
    <w:tbl>
      <w:tblPr>
        <w:tblW w:w="9350" w:type="dxa"/>
        <w:tblLook w:val="04A0" w:firstRow="1" w:lastRow="0" w:firstColumn="1" w:lastColumn="0" w:noHBand="0" w:noVBand="1"/>
      </w:tblPr>
      <w:tblGrid>
        <w:gridCol w:w="2651"/>
        <w:gridCol w:w="851"/>
        <w:gridCol w:w="851"/>
        <w:gridCol w:w="851"/>
        <w:gridCol w:w="2385"/>
        <w:gridCol w:w="266"/>
        <w:gridCol w:w="1437"/>
        <w:gridCol w:w="266"/>
      </w:tblGrid>
      <w:tr w:rsidR="00AD5955" w:rsidRPr="00AD5955" w14:paraId="7DDBCE7A" w14:textId="77777777" w:rsidTr="00AD5955">
        <w:trPr>
          <w:trHeight w:val="290"/>
        </w:trPr>
        <w:tc>
          <w:tcPr>
            <w:tcW w:w="9350"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AF4AF8" w14:textId="77777777" w:rsidR="00AD5955" w:rsidRPr="00AD5955" w:rsidRDefault="00AD5955" w:rsidP="00AD5955">
            <w:pPr>
              <w:jc w:val="center"/>
              <w:rPr>
                <w:rFonts w:ascii="Calibri" w:hAnsi="Calibri" w:cs="Calibri"/>
                <w:color w:val="000000"/>
                <w:sz w:val="22"/>
                <w:szCs w:val="22"/>
                <w:lang w:val="en-CA"/>
              </w:rPr>
            </w:pPr>
            <w:proofErr w:type="spellStart"/>
            <w:r w:rsidRPr="00AD5955">
              <w:rPr>
                <w:rFonts w:ascii="Calibri" w:hAnsi="Calibri" w:cs="Calibri"/>
                <w:color w:val="000000"/>
                <w:sz w:val="22"/>
                <w:szCs w:val="22"/>
                <w:lang w:val="en-CA"/>
              </w:rPr>
              <w:t>Exercice</w:t>
            </w:r>
            <w:proofErr w:type="spellEnd"/>
            <w:r w:rsidRPr="00AD5955">
              <w:rPr>
                <w:rFonts w:ascii="Calibri" w:hAnsi="Calibri" w:cs="Calibri"/>
                <w:color w:val="000000"/>
                <w:sz w:val="22"/>
                <w:szCs w:val="22"/>
                <w:lang w:val="en-CA"/>
              </w:rPr>
              <w:t xml:space="preserve"> financier se </w:t>
            </w:r>
            <w:proofErr w:type="spellStart"/>
            <w:r w:rsidRPr="00AD5955">
              <w:rPr>
                <w:rFonts w:ascii="Calibri" w:hAnsi="Calibri" w:cs="Calibri"/>
                <w:color w:val="000000"/>
                <w:sz w:val="22"/>
                <w:szCs w:val="22"/>
                <w:lang w:val="en-CA"/>
              </w:rPr>
              <w:t>terminant</w:t>
            </w:r>
            <w:proofErr w:type="spellEnd"/>
            <w:r w:rsidRPr="00AD5955">
              <w:rPr>
                <w:rFonts w:ascii="Calibri" w:hAnsi="Calibri" w:cs="Calibri"/>
                <w:color w:val="000000"/>
                <w:sz w:val="22"/>
                <w:szCs w:val="22"/>
                <w:lang w:val="en-CA"/>
              </w:rPr>
              <w:t xml:space="preserve"> le 31 </w:t>
            </w:r>
            <w:proofErr w:type="spellStart"/>
            <w:r w:rsidRPr="00AD5955">
              <w:rPr>
                <w:rFonts w:ascii="Calibri" w:hAnsi="Calibri" w:cs="Calibri"/>
                <w:color w:val="000000"/>
                <w:sz w:val="22"/>
                <w:szCs w:val="22"/>
                <w:lang w:val="en-CA"/>
              </w:rPr>
              <w:t>décembre</w:t>
            </w:r>
            <w:proofErr w:type="spellEnd"/>
            <w:r w:rsidRPr="00AD5955">
              <w:rPr>
                <w:rFonts w:ascii="Calibri" w:hAnsi="Calibri" w:cs="Calibri"/>
                <w:color w:val="000000"/>
                <w:sz w:val="22"/>
                <w:szCs w:val="22"/>
                <w:lang w:val="en-CA"/>
              </w:rPr>
              <w:t xml:space="preserve"> 2019 pour </w:t>
            </w:r>
            <w:proofErr w:type="spellStart"/>
            <w:r w:rsidRPr="00AD5955">
              <w:rPr>
                <w:rFonts w:ascii="Calibri" w:hAnsi="Calibri" w:cs="Calibri"/>
                <w:color w:val="000000"/>
                <w:sz w:val="22"/>
                <w:szCs w:val="22"/>
                <w:lang w:val="en-CA"/>
              </w:rPr>
              <w:t>toute</w:t>
            </w:r>
            <w:proofErr w:type="spellEnd"/>
            <w:r w:rsidRPr="00AD5955">
              <w:rPr>
                <w:rFonts w:ascii="Calibri" w:hAnsi="Calibri" w:cs="Calibri"/>
                <w:color w:val="000000"/>
                <w:sz w:val="22"/>
                <w:szCs w:val="22"/>
                <w:lang w:val="en-CA"/>
              </w:rPr>
              <w:t xml:space="preserve"> </w:t>
            </w:r>
            <w:proofErr w:type="spellStart"/>
            <w:r w:rsidRPr="00AD5955">
              <w:rPr>
                <w:rFonts w:ascii="Calibri" w:hAnsi="Calibri" w:cs="Calibri"/>
                <w:color w:val="000000"/>
                <w:sz w:val="22"/>
                <w:szCs w:val="22"/>
                <w:lang w:val="en-CA"/>
              </w:rPr>
              <w:t>l'entreprise</w:t>
            </w:r>
            <w:proofErr w:type="spellEnd"/>
            <w:r w:rsidRPr="00AD5955">
              <w:rPr>
                <w:rFonts w:ascii="Calibri" w:hAnsi="Calibri" w:cs="Calibri"/>
                <w:color w:val="000000"/>
                <w:sz w:val="22"/>
                <w:szCs w:val="22"/>
                <w:lang w:val="en-CA"/>
              </w:rPr>
              <w:t xml:space="preserve"> </w:t>
            </w:r>
          </w:p>
        </w:tc>
      </w:tr>
      <w:tr w:rsidR="00AD5955" w:rsidRPr="00AD5955" w14:paraId="2CEFEEA7" w14:textId="77777777" w:rsidTr="00AD5955">
        <w:trPr>
          <w:trHeight w:val="290"/>
        </w:trPr>
        <w:tc>
          <w:tcPr>
            <w:tcW w:w="2651" w:type="dxa"/>
            <w:tcBorders>
              <w:top w:val="nil"/>
              <w:left w:val="nil"/>
              <w:bottom w:val="nil"/>
              <w:right w:val="nil"/>
            </w:tcBorders>
            <w:shd w:val="clear" w:color="000000" w:fill="FFFFFF"/>
            <w:noWrap/>
            <w:vAlign w:val="center"/>
            <w:hideMark/>
          </w:tcPr>
          <w:p w14:paraId="748D1BF9"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851" w:type="dxa"/>
            <w:tcBorders>
              <w:top w:val="nil"/>
              <w:left w:val="nil"/>
              <w:bottom w:val="nil"/>
              <w:right w:val="nil"/>
            </w:tcBorders>
            <w:shd w:val="clear" w:color="000000" w:fill="FFFFFF"/>
            <w:noWrap/>
            <w:vAlign w:val="center"/>
            <w:hideMark/>
          </w:tcPr>
          <w:p w14:paraId="647710D2"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851" w:type="dxa"/>
            <w:tcBorders>
              <w:top w:val="nil"/>
              <w:left w:val="nil"/>
              <w:bottom w:val="nil"/>
              <w:right w:val="nil"/>
            </w:tcBorders>
            <w:shd w:val="clear" w:color="000000" w:fill="FFFFFF"/>
            <w:noWrap/>
            <w:vAlign w:val="center"/>
            <w:hideMark/>
          </w:tcPr>
          <w:p w14:paraId="46CD41BF"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851" w:type="dxa"/>
            <w:tcBorders>
              <w:top w:val="nil"/>
              <w:left w:val="nil"/>
              <w:bottom w:val="nil"/>
              <w:right w:val="nil"/>
            </w:tcBorders>
            <w:shd w:val="clear" w:color="000000" w:fill="FFFFFF"/>
            <w:noWrap/>
            <w:vAlign w:val="center"/>
            <w:hideMark/>
          </w:tcPr>
          <w:p w14:paraId="4B602716"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2385" w:type="dxa"/>
            <w:tcBorders>
              <w:top w:val="nil"/>
              <w:left w:val="nil"/>
              <w:bottom w:val="nil"/>
              <w:right w:val="nil"/>
            </w:tcBorders>
            <w:shd w:val="clear" w:color="000000" w:fill="FFFFFF"/>
            <w:noWrap/>
            <w:vAlign w:val="center"/>
            <w:hideMark/>
          </w:tcPr>
          <w:p w14:paraId="42C843A5"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62" w:type="dxa"/>
            <w:tcBorders>
              <w:top w:val="nil"/>
              <w:left w:val="nil"/>
              <w:bottom w:val="nil"/>
              <w:right w:val="nil"/>
            </w:tcBorders>
            <w:shd w:val="clear" w:color="000000" w:fill="FFFFFF"/>
            <w:noWrap/>
            <w:vAlign w:val="center"/>
            <w:hideMark/>
          </w:tcPr>
          <w:p w14:paraId="17D7E3D1"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437" w:type="dxa"/>
            <w:tcBorders>
              <w:top w:val="nil"/>
              <w:left w:val="nil"/>
              <w:bottom w:val="nil"/>
              <w:right w:val="nil"/>
            </w:tcBorders>
            <w:shd w:val="clear" w:color="000000" w:fill="FFFFFF"/>
            <w:noWrap/>
            <w:vAlign w:val="center"/>
            <w:hideMark/>
          </w:tcPr>
          <w:p w14:paraId="504B785B"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62" w:type="dxa"/>
            <w:tcBorders>
              <w:top w:val="nil"/>
              <w:left w:val="nil"/>
              <w:bottom w:val="nil"/>
              <w:right w:val="nil"/>
            </w:tcBorders>
            <w:shd w:val="clear" w:color="000000" w:fill="FFFFFF"/>
            <w:noWrap/>
            <w:vAlign w:val="center"/>
            <w:hideMark/>
          </w:tcPr>
          <w:p w14:paraId="7A551412"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r>
      <w:tr w:rsidR="00AD5955" w:rsidRPr="00AD5955" w14:paraId="2BE167C2" w14:textId="77777777" w:rsidTr="00AD5955">
        <w:trPr>
          <w:trHeight w:val="290"/>
        </w:trPr>
        <w:tc>
          <w:tcPr>
            <w:tcW w:w="3502" w:type="dxa"/>
            <w:gridSpan w:val="2"/>
            <w:tcBorders>
              <w:top w:val="nil"/>
              <w:left w:val="nil"/>
              <w:bottom w:val="nil"/>
              <w:right w:val="nil"/>
            </w:tcBorders>
            <w:shd w:val="clear" w:color="000000" w:fill="FFFFFF"/>
            <w:noWrap/>
            <w:vAlign w:val="center"/>
            <w:hideMark/>
          </w:tcPr>
          <w:p w14:paraId="0BA336BE" w14:textId="77777777" w:rsidR="00AD5955" w:rsidRPr="00AD5955" w:rsidRDefault="00AD5955" w:rsidP="00AD5955">
            <w:pPr>
              <w:jc w:val="left"/>
              <w:rPr>
                <w:rFonts w:ascii="Calibri" w:hAnsi="Calibri" w:cs="Calibri"/>
                <w:color w:val="000000"/>
                <w:sz w:val="22"/>
                <w:szCs w:val="22"/>
                <w:lang w:val="en-CA"/>
              </w:rPr>
            </w:pPr>
            <w:proofErr w:type="spellStart"/>
            <w:r w:rsidRPr="00AD5955">
              <w:rPr>
                <w:rFonts w:ascii="Calibri" w:hAnsi="Calibri" w:cs="Calibri"/>
                <w:color w:val="000000"/>
                <w:sz w:val="22"/>
                <w:szCs w:val="22"/>
                <w:lang w:val="en-CA"/>
              </w:rPr>
              <w:t>Rémunération</w:t>
            </w:r>
            <w:proofErr w:type="spellEnd"/>
            <w:r w:rsidRPr="00AD5955">
              <w:rPr>
                <w:rFonts w:ascii="Calibri" w:hAnsi="Calibri" w:cs="Calibri"/>
                <w:color w:val="000000"/>
                <w:sz w:val="22"/>
                <w:szCs w:val="22"/>
                <w:lang w:val="en-CA"/>
              </w:rPr>
              <w:t xml:space="preserve"> variable (000 $)</w:t>
            </w:r>
          </w:p>
        </w:tc>
        <w:tc>
          <w:tcPr>
            <w:tcW w:w="851" w:type="dxa"/>
            <w:tcBorders>
              <w:top w:val="nil"/>
              <w:left w:val="nil"/>
              <w:bottom w:val="nil"/>
              <w:right w:val="nil"/>
            </w:tcBorders>
            <w:shd w:val="clear" w:color="000000" w:fill="FFFFFF"/>
            <w:noWrap/>
            <w:vAlign w:val="center"/>
            <w:hideMark/>
          </w:tcPr>
          <w:p w14:paraId="0F77C1BC"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851" w:type="dxa"/>
            <w:tcBorders>
              <w:top w:val="nil"/>
              <w:left w:val="nil"/>
              <w:bottom w:val="nil"/>
              <w:right w:val="nil"/>
            </w:tcBorders>
            <w:shd w:val="clear" w:color="000000" w:fill="FFFFFF"/>
            <w:noWrap/>
            <w:vAlign w:val="center"/>
            <w:hideMark/>
          </w:tcPr>
          <w:p w14:paraId="0050114F"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2385" w:type="dxa"/>
            <w:tcBorders>
              <w:top w:val="nil"/>
              <w:left w:val="nil"/>
              <w:bottom w:val="nil"/>
              <w:right w:val="nil"/>
            </w:tcBorders>
            <w:shd w:val="clear" w:color="000000" w:fill="FFFFFF"/>
            <w:noWrap/>
            <w:vAlign w:val="center"/>
            <w:hideMark/>
          </w:tcPr>
          <w:p w14:paraId="1AB4A62B" w14:textId="77777777" w:rsidR="00AD5955" w:rsidRPr="00AD5955" w:rsidRDefault="00AD5955" w:rsidP="00AD5955">
            <w:pPr>
              <w:jc w:val="right"/>
              <w:rPr>
                <w:rFonts w:ascii="Calibri" w:hAnsi="Calibri" w:cs="Calibri"/>
                <w:color w:val="000000"/>
                <w:sz w:val="22"/>
                <w:szCs w:val="22"/>
                <w:u w:val="single"/>
                <w:lang w:val="en-CA"/>
              </w:rPr>
            </w:pPr>
            <w:r w:rsidRPr="00AD5955">
              <w:rPr>
                <w:rFonts w:ascii="Calibri" w:hAnsi="Calibri" w:cs="Calibri"/>
                <w:color w:val="000000"/>
                <w:sz w:val="22"/>
                <w:szCs w:val="22"/>
                <w:u w:val="single"/>
                <w:lang w:val="en-CA"/>
              </w:rPr>
              <w:t xml:space="preserve">Non </w:t>
            </w:r>
            <w:proofErr w:type="spellStart"/>
            <w:r w:rsidRPr="00AD5955">
              <w:rPr>
                <w:rFonts w:ascii="Calibri" w:hAnsi="Calibri" w:cs="Calibri"/>
                <w:color w:val="000000"/>
                <w:sz w:val="22"/>
                <w:szCs w:val="22"/>
                <w:u w:val="single"/>
                <w:lang w:val="en-CA"/>
              </w:rPr>
              <w:t>restreint</w:t>
            </w:r>
            <w:proofErr w:type="spellEnd"/>
          </w:p>
        </w:tc>
        <w:tc>
          <w:tcPr>
            <w:tcW w:w="162" w:type="dxa"/>
            <w:tcBorders>
              <w:top w:val="nil"/>
              <w:left w:val="nil"/>
              <w:bottom w:val="nil"/>
              <w:right w:val="nil"/>
            </w:tcBorders>
            <w:shd w:val="clear" w:color="000000" w:fill="FFFFFF"/>
            <w:noWrap/>
            <w:vAlign w:val="center"/>
            <w:hideMark/>
          </w:tcPr>
          <w:p w14:paraId="1F578861"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437" w:type="dxa"/>
            <w:tcBorders>
              <w:top w:val="nil"/>
              <w:left w:val="nil"/>
              <w:bottom w:val="nil"/>
              <w:right w:val="nil"/>
            </w:tcBorders>
            <w:shd w:val="clear" w:color="000000" w:fill="FFFFFF"/>
            <w:noWrap/>
            <w:vAlign w:val="center"/>
            <w:hideMark/>
          </w:tcPr>
          <w:p w14:paraId="7C17C169" w14:textId="77777777" w:rsidR="00AD5955" w:rsidRPr="00AD5955" w:rsidRDefault="00AD5955" w:rsidP="00AD5955">
            <w:pPr>
              <w:jc w:val="right"/>
              <w:rPr>
                <w:rFonts w:ascii="Calibri" w:hAnsi="Calibri" w:cs="Calibri"/>
                <w:color w:val="000000"/>
                <w:sz w:val="22"/>
                <w:szCs w:val="22"/>
                <w:u w:val="single"/>
                <w:lang w:val="en-CA"/>
              </w:rPr>
            </w:pPr>
            <w:proofErr w:type="spellStart"/>
            <w:r w:rsidRPr="00AD5955">
              <w:rPr>
                <w:rFonts w:ascii="Calibri" w:hAnsi="Calibri" w:cs="Calibri"/>
                <w:color w:val="000000"/>
                <w:sz w:val="22"/>
                <w:szCs w:val="22"/>
                <w:u w:val="single"/>
                <w:lang w:val="en-CA"/>
              </w:rPr>
              <w:t>Différé</w:t>
            </w:r>
            <w:proofErr w:type="spellEnd"/>
          </w:p>
        </w:tc>
        <w:tc>
          <w:tcPr>
            <w:tcW w:w="162" w:type="dxa"/>
            <w:tcBorders>
              <w:top w:val="nil"/>
              <w:left w:val="nil"/>
              <w:bottom w:val="nil"/>
              <w:right w:val="nil"/>
            </w:tcBorders>
            <w:shd w:val="clear" w:color="000000" w:fill="FFFFFF"/>
            <w:noWrap/>
            <w:vAlign w:val="center"/>
            <w:hideMark/>
          </w:tcPr>
          <w:p w14:paraId="3663C09F"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r>
      <w:tr w:rsidR="00AD5955" w:rsidRPr="00AD5955" w14:paraId="1515F010" w14:textId="77777777" w:rsidTr="00AD5955">
        <w:trPr>
          <w:trHeight w:val="290"/>
        </w:trPr>
        <w:tc>
          <w:tcPr>
            <w:tcW w:w="2651" w:type="dxa"/>
            <w:tcBorders>
              <w:top w:val="nil"/>
              <w:left w:val="nil"/>
              <w:bottom w:val="nil"/>
              <w:right w:val="nil"/>
            </w:tcBorders>
            <w:shd w:val="clear" w:color="000000" w:fill="FFFFFF"/>
            <w:noWrap/>
            <w:vAlign w:val="center"/>
            <w:hideMark/>
          </w:tcPr>
          <w:p w14:paraId="015648B5"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xml:space="preserve">Court </w:t>
            </w:r>
            <w:proofErr w:type="spellStart"/>
            <w:proofErr w:type="gramStart"/>
            <w:r w:rsidRPr="00AD5955">
              <w:rPr>
                <w:rFonts w:ascii="Calibri" w:hAnsi="Calibri" w:cs="Calibri"/>
                <w:color w:val="000000"/>
                <w:sz w:val="22"/>
                <w:szCs w:val="22"/>
                <w:lang w:val="en-CA"/>
              </w:rPr>
              <w:t>terme</w:t>
            </w:r>
            <w:proofErr w:type="spellEnd"/>
            <w:r w:rsidRPr="00AD5955">
              <w:rPr>
                <w:rFonts w:ascii="Calibri" w:hAnsi="Calibri" w:cs="Calibri"/>
                <w:color w:val="000000"/>
                <w:sz w:val="22"/>
                <w:szCs w:val="22"/>
                <w:lang w:val="en-CA"/>
              </w:rPr>
              <w:t xml:space="preserve"> :</w:t>
            </w:r>
            <w:proofErr w:type="gramEnd"/>
          </w:p>
        </w:tc>
        <w:tc>
          <w:tcPr>
            <w:tcW w:w="2553" w:type="dxa"/>
            <w:gridSpan w:val="3"/>
            <w:tcBorders>
              <w:top w:val="nil"/>
              <w:left w:val="nil"/>
              <w:bottom w:val="nil"/>
              <w:right w:val="nil"/>
            </w:tcBorders>
            <w:shd w:val="clear" w:color="000000" w:fill="FFFFFF"/>
            <w:noWrap/>
            <w:vAlign w:val="center"/>
            <w:hideMark/>
          </w:tcPr>
          <w:p w14:paraId="66300950" w14:textId="77777777" w:rsidR="00AD5955" w:rsidRPr="00AD5955" w:rsidRDefault="00AD5955" w:rsidP="00AD5955">
            <w:pPr>
              <w:jc w:val="left"/>
              <w:rPr>
                <w:rFonts w:ascii="Calibri" w:hAnsi="Calibri" w:cs="Calibri"/>
                <w:color w:val="000000"/>
                <w:sz w:val="16"/>
                <w:szCs w:val="16"/>
                <w:lang w:val="en-CA"/>
              </w:rPr>
            </w:pPr>
            <w:r w:rsidRPr="00AD5955">
              <w:rPr>
                <w:rFonts w:ascii="Calibri" w:hAnsi="Calibri" w:cs="Calibri"/>
                <w:color w:val="000000"/>
                <w:sz w:val="16"/>
                <w:szCs w:val="16"/>
                <w:lang w:val="en-CA"/>
              </w:rPr>
              <w:t xml:space="preserve">Programme de prime de reconnaissance </w:t>
            </w:r>
            <w:proofErr w:type="spellStart"/>
            <w:r w:rsidRPr="00AD5955">
              <w:rPr>
                <w:rFonts w:ascii="Calibri" w:hAnsi="Calibri" w:cs="Calibri"/>
                <w:color w:val="000000"/>
                <w:sz w:val="16"/>
                <w:szCs w:val="16"/>
                <w:lang w:val="en-CA"/>
              </w:rPr>
              <w:t>annuelle</w:t>
            </w:r>
            <w:proofErr w:type="spellEnd"/>
          </w:p>
        </w:tc>
        <w:tc>
          <w:tcPr>
            <w:tcW w:w="2385" w:type="dxa"/>
            <w:tcBorders>
              <w:top w:val="nil"/>
              <w:left w:val="nil"/>
              <w:bottom w:val="nil"/>
              <w:right w:val="nil"/>
            </w:tcBorders>
            <w:shd w:val="clear" w:color="000000" w:fill="FFFFFF"/>
            <w:noWrap/>
            <w:vAlign w:val="center"/>
            <w:hideMark/>
          </w:tcPr>
          <w:p w14:paraId="5BE23FCB" w14:textId="3A171354"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xml:space="preserve"> </w:t>
            </w:r>
            <w:r w:rsidR="00C626AD">
              <w:rPr>
                <w:rFonts w:ascii="Calibri" w:hAnsi="Calibri" w:cs="Calibri"/>
                <w:color w:val="000000"/>
                <w:sz w:val="22"/>
                <w:szCs w:val="22"/>
                <w:lang w:val="en-CA"/>
              </w:rPr>
              <w:t xml:space="preserve">                         </w:t>
            </w:r>
            <w:r w:rsidRPr="00AD5955">
              <w:rPr>
                <w:rFonts w:ascii="Calibri" w:hAnsi="Calibri" w:cs="Calibri"/>
                <w:color w:val="000000"/>
                <w:sz w:val="22"/>
                <w:szCs w:val="22"/>
                <w:lang w:val="en-CA"/>
              </w:rPr>
              <w:t xml:space="preserve">1 274 $ </w:t>
            </w:r>
          </w:p>
        </w:tc>
        <w:tc>
          <w:tcPr>
            <w:tcW w:w="162" w:type="dxa"/>
            <w:tcBorders>
              <w:top w:val="nil"/>
              <w:left w:val="nil"/>
              <w:bottom w:val="nil"/>
              <w:right w:val="nil"/>
            </w:tcBorders>
            <w:shd w:val="clear" w:color="000000" w:fill="FFFFFF"/>
            <w:noWrap/>
            <w:vAlign w:val="center"/>
            <w:hideMark/>
          </w:tcPr>
          <w:p w14:paraId="11B62C1C"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437" w:type="dxa"/>
            <w:tcBorders>
              <w:top w:val="nil"/>
              <w:left w:val="nil"/>
              <w:bottom w:val="nil"/>
              <w:right w:val="nil"/>
            </w:tcBorders>
            <w:shd w:val="clear" w:color="000000" w:fill="FFFFFF"/>
            <w:noWrap/>
            <w:vAlign w:val="center"/>
            <w:hideMark/>
          </w:tcPr>
          <w:p w14:paraId="14C6EE17"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62" w:type="dxa"/>
            <w:tcBorders>
              <w:top w:val="nil"/>
              <w:left w:val="nil"/>
              <w:bottom w:val="nil"/>
              <w:right w:val="nil"/>
            </w:tcBorders>
            <w:shd w:val="clear" w:color="000000" w:fill="FFFFFF"/>
            <w:noWrap/>
            <w:vAlign w:val="center"/>
            <w:hideMark/>
          </w:tcPr>
          <w:p w14:paraId="2EA89983"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r>
      <w:tr w:rsidR="00AD5955" w:rsidRPr="00AD5955" w14:paraId="3A4237F2" w14:textId="77777777" w:rsidTr="00AD5955">
        <w:trPr>
          <w:trHeight w:val="290"/>
        </w:trPr>
        <w:tc>
          <w:tcPr>
            <w:tcW w:w="2651" w:type="dxa"/>
            <w:tcBorders>
              <w:top w:val="nil"/>
              <w:left w:val="nil"/>
              <w:bottom w:val="nil"/>
              <w:right w:val="nil"/>
            </w:tcBorders>
            <w:shd w:val="clear" w:color="000000" w:fill="FFFFFF"/>
            <w:noWrap/>
            <w:vAlign w:val="center"/>
            <w:hideMark/>
          </w:tcPr>
          <w:p w14:paraId="05A75581" w14:textId="77777777" w:rsidR="00AD5955" w:rsidRPr="00AD5955" w:rsidRDefault="00AD5955" w:rsidP="00AD5955">
            <w:pPr>
              <w:jc w:val="left"/>
              <w:rPr>
                <w:rFonts w:ascii="Calibri" w:hAnsi="Calibri" w:cs="Calibri"/>
                <w:color w:val="000000"/>
                <w:sz w:val="22"/>
                <w:szCs w:val="22"/>
                <w:lang w:val="en-CA"/>
              </w:rPr>
            </w:pPr>
            <w:proofErr w:type="spellStart"/>
            <w:r w:rsidRPr="00AD5955">
              <w:rPr>
                <w:rFonts w:ascii="Calibri" w:hAnsi="Calibri" w:cs="Calibri"/>
                <w:color w:val="000000"/>
                <w:sz w:val="22"/>
                <w:szCs w:val="22"/>
                <w:lang w:val="en-CA"/>
              </w:rPr>
              <w:t>Moyen</w:t>
            </w:r>
            <w:proofErr w:type="spellEnd"/>
            <w:r w:rsidRPr="00AD5955">
              <w:rPr>
                <w:rFonts w:ascii="Calibri" w:hAnsi="Calibri" w:cs="Calibri"/>
                <w:color w:val="000000"/>
                <w:sz w:val="22"/>
                <w:szCs w:val="22"/>
                <w:lang w:val="en-CA"/>
              </w:rPr>
              <w:t xml:space="preserve"> </w:t>
            </w:r>
            <w:proofErr w:type="spellStart"/>
            <w:proofErr w:type="gramStart"/>
            <w:r w:rsidRPr="00AD5955">
              <w:rPr>
                <w:rFonts w:ascii="Calibri" w:hAnsi="Calibri" w:cs="Calibri"/>
                <w:color w:val="000000"/>
                <w:sz w:val="22"/>
                <w:szCs w:val="22"/>
                <w:lang w:val="en-CA"/>
              </w:rPr>
              <w:t>terme</w:t>
            </w:r>
            <w:proofErr w:type="spellEnd"/>
            <w:r w:rsidRPr="00AD5955">
              <w:rPr>
                <w:rFonts w:ascii="Calibri" w:hAnsi="Calibri" w:cs="Calibri"/>
                <w:color w:val="000000"/>
                <w:sz w:val="22"/>
                <w:szCs w:val="22"/>
                <w:lang w:val="en-CA"/>
              </w:rPr>
              <w:t xml:space="preserve"> :</w:t>
            </w:r>
            <w:proofErr w:type="gramEnd"/>
          </w:p>
        </w:tc>
        <w:tc>
          <w:tcPr>
            <w:tcW w:w="1702" w:type="dxa"/>
            <w:gridSpan w:val="2"/>
            <w:tcBorders>
              <w:top w:val="nil"/>
              <w:left w:val="nil"/>
              <w:bottom w:val="nil"/>
              <w:right w:val="nil"/>
            </w:tcBorders>
            <w:shd w:val="clear" w:color="000000" w:fill="FFFFFF"/>
            <w:noWrap/>
            <w:vAlign w:val="center"/>
            <w:hideMark/>
          </w:tcPr>
          <w:p w14:paraId="7F87F879"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PRMT (2019)</w:t>
            </w:r>
          </w:p>
        </w:tc>
        <w:tc>
          <w:tcPr>
            <w:tcW w:w="851" w:type="dxa"/>
            <w:tcBorders>
              <w:top w:val="nil"/>
              <w:left w:val="nil"/>
              <w:bottom w:val="nil"/>
              <w:right w:val="nil"/>
            </w:tcBorders>
            <w:shd w:val="clear" w:color="000000" w:fill="FFFFFF"/>
            <w:noWrap/>
            <w:vAlign w:val="center"/>
            <w:hideMark/>
          </w:tcPr>
          <w:p w14:paraId="1E542628"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2385" w:type="dxa"/>
            <w:tcBorders>
              <w:top w:val="nil"/>
              <w:left w:val="nil"/>
              <w:bottom w:val="nil"/>
              <w:right w:val="nil"/>
            </w:tcBorders>
            <w:shd w:val="clear" w:color="000000" w:fill="FFFFFF"/>
            <w:noWrap/>
            <w:vAlign w:val="center"/>
            <w:hideMark/>
          </w:tcPr>
          <w:p w14:paraId="1D488B19"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62" w:type="dxa"/>
            <w:tcBorders>
              <w:top w:val="nil"/>
              <w:left w:val="nil"/>
              <w:bottom w:val="nil"/>
              <w:right w:val="nil"/>
            </w:tcBorders>
            <w:shd w:val="clear" w:color="000000" w:fill="FFFFFF"/>
            <w:noWrap/>
            <w:vAlign w:val="center"/>
            <w:hideMark/>
          </w:tcPr>
          <w:p w14:paraId="030D0B43"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437" w:type="dxa"/>
            <w:tcBorders>
              <w:top w:val="nil"/>
              <w:left w:val="nil"/>
              <w:bottom w:val="nil"/>
              <w:right w:val="nil"/>
            </w:tcBorders>
            <w:shd w:val="clear" w:color="000000" w:fill="FFFFFF"/>
            <w:noWrap/>
            <w:vAlign w:val="center"/>
            <w:hideMark/>
          </w:tcPr>
          <w:p w14:paraId="2675C044" w14:textId="258CE528"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xml:space="preserve"> </w:t>
            </w:r>
            <w:r w:rsidR="00C626AD">
              <w:rPr>
                <w:rFonts w:ascii="Calibri" w:hAnsi="Calibri" w:cs="Calibri"/>
                <w:color w:val="000000"/>
                <w:sz w:val="22"/>
                <w:szCs w:val="22"/>
                <w:lang w:val="en-CA"/>
              </w:rPr>
              <w:t xml:space="preserve">          </w:t>
            </w:r>
            <w:r w:rsidRPr="00AD5955">
              <w:rPr>
                <w:rFonts w:ascii="Calibri" w:hAnsi="Calibri" w:cs="Calibri"/>
                <w:color w:val="000000"/>
                <w:sz w:val="22"/>
                <w:szCs w:val="22"/>
                <w:lang w:val="en-CA"/>
              </w:rPr>
              <w:t xml:space="preserve">1 133 $ </w:t>
            </w:r>
          </w:p>
        </w:tc>
        <w:tc>
          <w:tcPr>
            <w:tcW w:w="162" w:type="dxa"/>
            <w:tcBorders>
              <w:top w:val="nil"/>
              <w:left w:val="nil"/>
              <w:bottom w:val="nil"/>
              <w:right w:val="nil"/>
            </w:tcBorders>
            <w:shd w:val="clear" w:color="000000" w:fill="FFFFFF"/>
            <w:noWrap/>
            <w:vAlign w:val="center"/>
            <w:hideMark/>
          </w:tcPr>
          <w:p w14:paraId="0E5DA9A8"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r>
      <w:tr w:rsidR="00AD5955" w:rsidRPr="00AD5955" w14:paraId="31828925" w14:textId="77777777" w:rsidTr="00AD5955">
        <w:trPr>
          <w:trHeight w:val="290"/>
        </w:trPr>
        <w:tc>
          <w:tcPr>
            <w:tcW w:w="2651" w:type="dxa"/>
            <w:tcBorders>
              <w:top w:val="nil"/>
              <w:left w:val="nil"/>
              <w:bottom w:val="nil"/>
              <w:right w:val="nil"/>
            </w:tcBorders>
            <w:shd w:val="clear" w:color="000000" w:fill="FFFFFF"/>
            <w:noWrap/>
            <w:vAlign w:val="center"/>
            <w:hideMark/>
          </w:tcPr>
          <w:p w14:paraId="1969154F" w14:textId="77777777" w:rsidR="00AD5955" w:rsidRPr="00AD5955" w:rsidRDefault="00AD5955" w:rsidP="00AD5955">
            <w:pPr>
              <w:jc w:val="left"/>
              <w:rPr>
                <w:rFonts w:ascii="Calibri" w:hAnsi="Calibri" w:cs="Calibri"/>
                <w:color w:val="000000"/>
                <w:sz w:val="22"/>
                <w:szCs w:val="22"/>
                <w:lang w:val="en-CA"/>
              </w:rPr>
            </w:pPr>
            <w:proofErr w:type="spellStart"/>
            <w:proofErr w:type="gramStart"/>
            <w:r w:rsidRPr="00AD5955">
              <w:rPr>
                <w:rFonts w:ascii="Calibri" w:hAnsi="Calibri" w:cs="Calibri"/>
                <w:color w:val="000000"/>
                <w:sz w:val="22"/>
                <w:szCs w:val="22"/>
                <w:lang w:val="en-CA"/>
              </w:rPr>
              <w:t>Transmis</w:t>
            </w:r>
            <w:proofErr w:type="spellEnd"/>
            <w:r w:rsidRPr="00AD5955">
              <w:rPr>
                <w:rFonts w:ascii="Calibri" w:hAnsi="Calibri" w:cs="Calibri"/>
                <w:color w:val="000000"/>
                <w:sz w:val="22"/>
                <w:szCs w:val="22"/>
                <w:lang w:val="en-CA"/>
              </w:rPr>
              <w:t xml:space="preserve"> :</w:t>
            </w:r>
            <w:proofErr w:type="gramEnd"/>
          </w:p>
        </w:tc>
        <w:tc>
          <w:tcPr>
            <w:tcW w:w="1702" w:type="dxa"/>
            <w:gridSpan w:val="2"/>
            <w:tcBorders>
              <w:top w:val="nil"/>
              <w:left w:val="nil"/>
              <w:bottom w:val="nil"/>
              <w:right w:val="nil"/>
            </w:tcBorders>
            <w:shd w:val="clear" w:color="000000" w:fill="FFFFFF"/>
            <w:noWrap/>
            <w:vAlign w:val="center"/>
            <w:hideMark/>
          </w:tcPr>
          <w:p w14:paraId="6F633BBB"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2017 et 2018</w:t>
            </w:r>
          </w:p>
        </w:tc>
        <w:tc>
          <w:tcPr>
            <w:tcW w:w="851" w:type="dxa"/>
            <w:tcBorders>
              <w:top w:val="nil"/>
              <w:left w:val="nil"/>
              <w:bottom w:val="nil"/>
              <w:right w:val="nil"/>
            </w:tcBorders>
            <w:shd w:val="clear" w:color="000000" w:fill="FFFFFF"/>
            <w:noWrap/>
            <w:vAlign w:val="center"/>
            <w:hideMark/>
          </w:tcPr>
          <w:p w14:paraId="4CF77270"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2385" w:type="dxa"/>
            <w:tcBorders>
              <w:top w:val="nil"/>
              <w:left w:val="nil"/>
              <w:bottom w:val="nil"/>
              <w:right w:val="nil"/>
            </w:tcBorders>
            <w:shd w:val="clear" w:color="000000" w:fill="FFFFFF"/>
            <w:noWrap/>
            <w:vAlign w:val="center"/>
            <w:hideMark/>
          </w:tcPr>
          <w:p w14:paraId="4BEE161E"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62" w:type="dxa"/>
            <w:tcBorders>
              <w:top w:val="nil"/>
              <w:left w:val="nil"/>
              <w:bottom w:val="nil"/>
              <w:right w:val="nil"/>
            </w:tcBorders>
            <w:shd w:val="clear" w:color="000000" w:fill="FFFFFF"/>
            <w:noWrap/>
            <w:vAlign w:val="center"/>
            <w:hideMark/>
          </w:tcPr>
          <w:p w14:paraId="07D3582A"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437" w:type="dxa"/>
            <w:tcBorders>
              <w:top w:val="nil"/>
              <w:left w:val="nil"/>
              <w:bottom w:val="nil"/>
              <w:right w:val="nil"/>
            </w:tcBorders>
            <w:shd w:val="clear" w:color="000000" w:fill="FFFFFF"/>
            <w:noWrap/>
            <w:vAlign w:val="center"/>
            <w:hideMark/>
          </w:tcPr>
          <w:p w14:paraId="51E9FFE0" w14:textId="50A0657D"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xml:space="preserve"> </w:t>
            </w:r>
            <w:r w:rsidR="00C626AD">
              <w:rPr>
                <w:rFonts w:ascii="Calibri" w:hAnsi="Calibri" w:cs="Calibri"/>
                <w:color w:val="000000"/>
                <w:sz w:val="22"/>
                <w:szCs w:val="22"/>
                <w:lang w:val="en-CA"/>
              </w:rPr>
              <w:t xml:space="preserve">          </w:t>
            </w:r>
            <w:r w:rsidRPr="00AD5955">
              <w:rPr>
                <w:rFonts w:ascii="Calibri" w:hAnsi="Calibri" w:cs="Calibri"/>
                <w:color w:val="000000"/>
                <w:sz w:val="22"/>
                <w:szCs w:val="22"/>
                <w:lang w:val="en-CA"/>
              </w:rPr>
              <w:t xml:space="preserve">2 235 $ </w:t>
            </w:r>
          </w:p>
        </w:tc>
        <w:tc>
          <w:tcPr>
            <w:tcW w:w="162" w:type="dxa"/>
            <w:tcBorders>
              <w:top w:val="nil"/>
              <w:left w:val="nil"/>
              <w:bottom w:val="nil"/>
              <w:right w:val="nil"/>
            </w:tcBorders>
            <w:shd w:val="clear" w:color="000000" w:fill="FFFFFF"/>
            <w:noWrap/>
            <w:vAlign w:val="center"/>
            <w:hideMark/>
          </w:tcPr>
          <w:p w14:paraId="190A0C32"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r>
      <w:tr w:rsidR="00AD5955" w:rsidRPr="00AD5955" w14:paraId="39266B7A" w14:textId="77777777" w:rsidTr="00AD5955">
        <w:trPr>
          <w:trHeight w:val="290"/>
        </w:trPr>
        <w:tc>
          <w:tcPr>
            <w:tcW w:w="2651" w:type="dxa"/>
            <w:tcBorders>
              <w:top w:val="nil"/>
              <w:left w:val="nil"/>
              <w:bottom w:val="nil"/>
              <w:right w:val="nil"/>
            </w:tcBorders>
            <w:shd w:val="clear" w:color="000000" w:fill="FFFFFF"/>
            <w:noWrap/>
            <w:vAlign w:val="center"/>
            <w:hideMark/>
          </w:tcPr>
          <w:p w14:paraId="77D42602"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851" w:type="dxa"/>
            <w:tcBorders>
              <w:top w:val="nil"/>
              <w:left w:val="nil"/>
              <w:bottom w:val="nil"/>
              <w:right w:val="nil"/>
            </w:tcBorders>
            <w:shd w:val="clear" w:color="000000" w:fill="FFFFFF"/>
            <w:noWrap/>
            <w:vAlign w:val="center"/>
            <w:hideMark/>
          </w:tcPr>
          <w:p w14:paraId="20C30534"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851" w:type="dxa"/>
            <w:tcBorders>
              <w:top w:val="nil"/>
              <w:left w:val="nil"/>
              <w:bottom w:val="nil"/>
              <w:right w:val="nil"/>
            </w:tcBorders>
            <w:shd w:val="clear" w:color="000000" w:fill="FFFFFF"/>
            <w:noWrap/>
            <w:vAlign w:val="center"/>
            <w:hideMark/>
          </w:tcPr>
          <w:p w14:paraId="74AB53B6"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851" w:type="dxa"/>
            <w:tcBorders>
              <w:top w:val="nil"/>
              <w:left w:val="nil"/>
              <w:bottom w:val="nil"/>
              <w:right w:val="nil"/>
            </w:tcBorders>
            <w:shd w:val="clear" w:color="000000" w:fill="FFFFFF"/>
            <w:noWrap/>
            <w:vAlign w:val="center"/>
            <w:hideMark/>
          </w:tcPr>
          <w:p w14:paraId="6BB75351"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2385" w:type="dxa"/>
            <w:tcBorders>
              <w:top w:val="nil"/>
              <w:left w:val="nil"/>
              <w:bottom w:val="nil"/>
              <w:right w:val="nil"/>
            </w:tcBorders>
            <w:shd w:val="clear" w:color="000000" w:fill="FFFFFF"/>
            <w:noWrap/>
            <w:vAlign w:val="center"/>
            <w:hideMark/>
          </w:tcPr>
          <w:p w14:paraId="73044156"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62" w:type="dxa"/>
            <w:tcBorders>
              <w:top w:val="nil"/>
              <w:left w:val="nil"/>
              <w:bottom w:val="nil"/>
              <w:right w:val="nil"/>
            </w:tcBorders>
            <w:shd w:val="clear" w:color="000000" w:fill="FFFFFF"/>
            <w:noWrap/>
            <w:vAlign w:val="center"/>
            <w:hideMark/>
          </w:tcPr>
          <w:p w14:paraId="054B6446"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437" w:type="dxa"/>
            <w:tcBorders>
              <w:top w:val="nil"/>
              <w:left w:val="nil"/>
              <w:bottom w:val="nil"/>
              <w:right w:val="nil"/>
            </w:tcBorders>
            <w:shd w:val="clear" w:color="000000" w:fill="FFFFFF"/>
            <w:noWrap/>
            <w:vAlign w:val="center"/>
            <w:hideMark/>
          </w:tcPr>
          <w:p w14:paraId="385297CA"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62" w:type="dxa"/>
            <w:tcBorders>
              <w:top w:val="nil"/>
              <w:left w:val="nil"/>
              <w:bottom w:val="nil"/>
              <w:right w:val="nil"/>
            </w:tcBorders>
            <w:shd w:val="clear" w:color="000000" w:fill="FFFFFF"/>
            <w:noWrap/>
            <w:vAlign w:val="center"/>
            <w:hideMark/>
          </w:tcPr>
          <w:p w14:paraId="5395E95D"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r>
      <w:tr w:rsidR="00AD5955" w:rsidRPr="00AD5955" w14:paraId="4CA836B9" w14:textId="77777777" w:rsidTr="00AD5955">
        <w:trPr>
          <w:trHeight w:val="290"/>
        </w:trPr>
        <w:tc>
          <w:tcPr>
            <w:tcW w:w="2651" w:type="dxa"/>
            <w:tcBorders>
              <w:top w:val="nil"/>
              <w:left w:val="nil"/>
              <w:bottom w:val="single" w:sz="4" w:space="0" w:color="auto"/>
              <w:right w:val="nil"/>
            </w:tcBorders>
            <w:shd w:val="clear" w:color="000000" w:fill="FFFFFF"/>
            <w:noWrap/>
            <w:vAlign w:val="center"/>
            <w:hideMark/>
          </w:tcPr>
          <w:p w14:paraId="11F6073B"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851" w:type="dxa"/>
            <w:tcBorders>
              <w:top w:val="nil"/>
              <w:left w:val="nil"/>
              <w:bottom w:val="single" w:sz="4" w:space="0" w:color="auto"/>
              <w:right w:val="nil"/>
            </w:tcBorders>
            <w:shd w:val="clear" w:color="000000" w:fill="FFFFFF"/>
            <w:noWrap/>
            <w:vAlign w:val="center"/>
            <w:hideMark/>
          </w:tcPr>
          <w:p w14:paraId="26802918"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851" w:type="dxa"/>
            <w:tcBorders>
              <w:top w:val="nil"/>
              <w:left w:val="nil"/>
              <w:bottom w:val="single" w:sz="4" w:space="0" w:color="auto"/>
              <w:right w:val="nil"/>
            </w:tcBorders>
            <w:shd w:val="clear" w:color="000000" w:fill="FFFFFF"/>
            <w:noWrap/>
            <w:vAlign w:val="center"/>
            <w:hideMark/>
          </w:tcPr>
          <w:p w14:paraId="1DB53C36"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851" w:type="dxa"/>
            <w:tcBorders>
              <w:top w:val="nil"/>
              <w:left w:val="nil"/>
              <w:bottom w:val="single" w:sz="4" w:space="0" w:color="auto"/>
              <w:right w:val="nil"/>
            </w:tcBorders>
            <w:shd w:val="clear" w:color="000000" w:fill="FFFFFF"/>
            <w:noWrap/>
            <w:vAlign w:val="center"/>
            <w:hideMark/>
          </w:tcPr>
          <w:p w14:paraId="4CD3A9D3"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2385" w:type="dxa"/>
            <w:tcBorders>
              <w:top w:val="nil"/>
              <w:left w:val="nil"/>
              <w:bottom w:val="single" w:sz="4" w:space="0" w:color="auto"/>
              <w:right w:val="nil"/>
            </w:tcBorders>
            <w:shd w:val="clear" w:color="000000" w:fill="FFFFFF"/>
            <w:noWrap/>
            <w:vAlign w:val="center"/>
            <w:hideMark/>
          </w:tcPr>
          <w:p w14:paraId="6F26E50E"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62" w:type="dxa"/>
            <w:tcBorders>
              <w:top w:val="nil"/>
              <w:left w:val="nil"/>
              <w:bottom w:val="single" w:sz="4" w:space="0" w:color="auto"/>
              <w:right w:val="nil"/>
            </w:tcBorders>
            <w:shd w:val="clear" w:color="000000" w:fill="FFFFFF"/>
            <w:noWrap/>
            <w:vAlign w:val="center"/>
            <w:hideMark/>
          </w:tcPr>
          <w:p w14:paraId="422E4F62"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437" w:type="dxa"/>
            <w:tcBorders>
              <w:top w:val="nil"/>
              <w:left w:val="nil"/>
              <w:bottom w:val="single" w:sz="4" w:space="0" w:color="auto"/>
              <w:right w:val="nil"/>
            </w:tcBorders>
            <w:shd w:val="clear" w:color="000000" w:fill="FFFFFF"/>
            <w:noWrap/>
            <w:vAlign w:val="center"/>
            <w:hideMark/>
          </w:tcPr>
          <w:p w14:paraId="05A841D7"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c>
          <w:tcPr>
            <w:tcW w:w="162" w:type="dxa"/>
            <w:tcBorders>
              <w:top w:val="nil"/>
              <w:left w:val="nil"/>
              <w:bottom w:val="single" w:sz="4" w:space="0" w:color="auto"/>
              <w:right w:val="nil"/>
            </w:tcBorders>
            <w:shd w:val="clear" w:color="000000" w:fill="FFFFFF"/>
            <w:noWrap/>
            <w:vAlign w:val="center"/>
            <w:hideMark/>
          </w:tcPr>
          <w:p w14:paraId="22F2836A" w14:textId="77777777" w:rsidR="00AD5955" w:rsidRPr="00AD5955" w:rsidRDefault="00AD5955" w:rsidP="00AD5955">
            <w:pPr>
              <w:jc w:val="left"/>
              <w:rPr>
                <w:rFonts w:ascii="Calibri" w:hAnsi="Calibri" w:cs="Calibri"/>
                <w:color w:val="000000"/>
                <w:sz w:val="22"/>
                <w:szCs w:val="22"/>
                <w:lang w:val="en-CA"/>
              </w:rPr>
            </w:pPr>
            <w:r w:rsidRPr="00AD5955">
              <w:rPr>
                <w:rFonts w:ascii="Calibri" w:hAnsi="Calibri" w:cs="Calibri"/>
                <w:color w:val="000000"/>
                <w:sz w:val="22"/>
                <w:szCs w:val="22"/>
                <w:lang w:val="en-CA"/>
              </w:rPr>
              <w:t> </w:t>
            </w:r>
          </w:p>
        </w:tc>
      </w:tr>
    </w:tbl>
    <w:p w14:paraId="39BAB6E5" w14:textId="4B0752D8" w:rsidR="001B51E3" w:rsidRDefault="001B51E3" w:rsidP="00A15C39">
      <w:pPr>
        <w:pStyle w:val="Default"/>
        <w:jc w:val="both"/>
        <w:rPr>
          <w:rFonts w:ascii="Arial" w:hAnsi="Arial" w:cs="Arial"/>
          <w:highlight w:val="yellow"/>
        </w:rPr>
      </w:pPr>
    </w:p>
    <w:p w14:paraId="4AD45F08" w14:textId="77777777" w:rsidR="00A15C39" w:rsidRPr="00FD6E64" w:rsidRDefault="00A15C39" w:rsidP="00FD6E64">
      <w:pPr>
        <w:pStyle w:val="Default"/>
        <w:jc w:val="both"/>
        <w:rPr>
          <w:rFonts w:ascii="Arial" w:hAnsi="Arial"/>
          <w:highlight w:val="yellow"/>
        </w:rPr>
      </w:pPr>
    </w:p>
    <w:p w14:paraId="6C9C31A5" w14:textId="77777777" w:rsidR="00A15C39" w:rsidRPr="00FD6E64" w:rsidRDefault="00A15C39" w:rsidP="00FD6E64">
      <w:pPr>
        <w:pStyle w:val="Default"/>
        <w:jc w:val="both"/>
        <w:rPr>
          <w:rFonts w:ascii="Arial" w:hAnsi="Arial"/>
        </w:rPr>
      </w:pPr>
    </w:p>
    <w:p w14:paraId="3F2970F7" w14:textId="77777777" w:rsidR="00A15C39" w:rsidRPr="00FD6E64" w:rsidRDefault="00A15C39" w:rsidP="00FD6E64">
      <w:pPr>
        <w:pStyle w:val="Default"/>
        <w:jc w:val="both"/>
        <w:rPr>
          <w:rFonts w:ascii="Arial" w:hAnsi="Arial"/>
        </w:rPr>
      </w:pPr>
    </w:p>
    <w:p w14:paraId="73F9ED6A" w14:textId="77777777" w:rsidR="008F1994" w:rsidRDefault="008F1994" w:rsidP="0088253B">
      <w:pPr>
        <w:rPr>
          <w:lang w:val="en-US"/>
        </w:rPr>
      </w:pPr>
    </w:p>
    <w:sectPr w:rsidR="008F1994" w:rsidSect="00BF0B4E">
      <w:headerReference w:type="even" r:id="rId12"/>
      <w:headerReference w:type="default" r:id="rId13"/>
      <w:footerReference w:type="even" r:id="rId14"/>
      <w:footerReference w:type="default" r:id="rId15"/>
      <w:headerReference w:type="first" r:id="rId16"/>
      <w:footerReference w:type="first" r:id="rId17"/>
      <w:pgSz w:w="12240" w:h="15840"/>
      <w:pgMar w:top="1296" w:right="1656" w:bottom="1296" w:left="1656"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ABB17" w14:textId="77777777" w:rsidR="00C57A78" w:rsidRDefault="00C57A78" w:rsidP="00E53226">
      <w:r>
        <w:separator/>
      </w:r>
    </w:p>
  </w:endnote>
  <w:endnote w:type="continuationSeparator" w:id="0">
    <w:p w14:paraId="1A46B9AA" w14:textId="77777777" w:rsidR="00C57A78" w:rsidRDefault="00C57A78" w:rsidP="00E53226">
      <w:r>
        <w:continuationSeparator/>
      </w:r>
    </w:p>
  </w:endnote>
  <w:endnote w:type="continuationNotice" w:id="1">
    <w:p w14:paraId="05B7FBB1" w14:textId="77777777" w:rsidR="00C57A78" w:rsidRDefault="00C57A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DC4ED" w14:textId="77777777" w:rsidR="00AD5955" w:rsidRDefault="00AD5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2927388"/>
      <w:docPartObj>
        <w:docPartGallery w:val="Page Numbers (Bottom of Page)"/>
        <w:docPartUnique/>
      </w:docPartObj>
    </w:sdtPr>
    <w:sdtEndPr>
      <w:rPr>
        <w:rFonts w:ascii="Arial" w:hAnsi="Arial" w:cs="Arial"/>
        <w:noProof/>
      </w:rPr>
    </w:sdtEndPr>
    <w:sdtContent>
      <w:p w14:paraId="50A7BC08" w14:textId="77777777" w:rsidR="00AD5955" w:rsidRPr="004413B6" w:rsidRDefault="00AD5955">
        <w:pPr>
          <w:pStyle w:val="Footer"/>
          <w:jc w:val="center"/>
          <w:rPr>
            <w:rFonts w:ascii="Arial" w:hAnsi="Arial" w:cs="Arial"/>
          </w:rPr>
        </w:pPr>
        <w:r w:rsidRPr="004413B6">
          <w:rPr>
            <w:rFonts w:ascii="Arial" w:hAnsi="Arial" w:cs="Arial"/>
          </w:rPr>
          <w:fldChar w:fldCharType="begin"/>
        </w:r>
        <w:r w:rsidRPr="004413B6">
          <w:rPr>
            <w:rFonts w:ascii="Arial" w:hAnsi="Arial" w:cs="Arial"/>
          </w:rPr>
          <w:instrText xml:space="preserve"> PAGE   \* MERGEFORMAT </w:instrText>
        </w:r>
        <w:r w:rsidRPr="004413B6">
          <w:rPr>
            <w:rFonts w:ascii="Arial" w:hAnsi="Arial" w:cs="Arial"/>
          </w:rPr>
          <w:fldChar w:fldCharType="separate"/>
        </w:r>
        <w:r>
          <w:rPr>
            <w:rFonts w:ascii="Arial" w:hAnsi="Arial" w:cs="Arial"/>
            <w:noProof/>
          </w:rPr>
          <w:t>19</w:t>
        </w:r>
        <w:r w:rsidRPr="004413B6">
          <w:rPr>
            <w:rFonts w:ascii="Arial" w:hAnsi="Arial" w:cs="Arial"/>
          </w:rPr>
          <w:fldChar w:fldCharType="end"/>
        </w:r>
      </w:p>
    </w:sdtContent>
  </w:sdt>
  <w:p w14:paraId="4DE56C14" w14:textId="77777777" w:rsidR="00AD5955" w:rsidRDefault="00AD59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C7DFC" w14:textId="77777777" w:rsidR="00AD5955" w:rsidRDefault="00AD5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810FB" w14:textId="77777777" w:rsidR="00C57A78" w:rsidRDefault="00C57A78" w:rsidP="00E53226">
      <w:r>
        <w:separator/>
      </w:r>
    </w:p>
  </w:footnote>
  <w:footnote w:type="continuationSeparator" w:id="0">
    <w:p w14:paraId="5FE45851" w14:textId="77777777" w:rsidR="00C57A78" w:rsidRDefault="00C57A78" w:rsidP="00E53226">
      <w:r>
        <w:continuationSeparator/>
      </w:r>
    </w:p>
  </w:footnote>
  <w:footnote w:type="continuationNotice" w:id="1">
    <w:p w14:paraId="34B14D0F" w14:textId="77777777" w:rsidR="00C57A78" w:rsidRDefault="00C57A7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12B9E" w14:textId="77777777" w:rsidR="00AD5955" w:rsidRDefault="00AD5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1E7C7" w14:textId="77777777" w:rsidR="00AD5955" w:rsidRDefault="00AD5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28342" w14:textId="77777777" w:rsidR="00AD5955" w:rsidRDefault="00AD5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B7555"/>
    <w:multiLevelType w:val="hybridMultilevel"/>
    <w:tmpl w:val="927C0BA0"/>
    <w:lvl w:ilvl="0" w:tplc="0BECC13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88561B"/>
    <w:multiLevelType w:val="hybridMultilevel"/>
    <w:tmpl w:val="61821572"/>
    <w:lvl w:ilvl="0" w:tplc="157CB64A">
      <w:start w:val="1"/>
      <w:numFmt w:val="decimal"/>
      <w:lvlText w:val="%1."/>
      <w:lvlJc w:val="left"/>
      <w:pPr>
        <w:tabs>
          <w:tab w:val="num" w:pos="360"/>
        </w:tabs>
        <w:ind w:left="360" w:hanging="360"/>
      </w:pPr>
      <w:rPr>
        <w:b/>
      </w:rPr>
    </w:lvl>
    <w:lvl w:ilvl="1" w:tplc="10090019">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2" w15:restartNumberingAfterBreak="0">
    <w:nsid w:val="081B26E2"/>
    <w:multiLevelType w:val="hybridMultilevel"/>
    <w:tmpl w:val="02BAD926"/>
    <w:lvl w:ilvl="0" w:tplc="7DEA13E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08B5476A"/>
    <w:multiLevelType w:val="hybridMultilevel"/>
    <w:tmpl w:val="D7AC774A"/>
    <w:lvl w:ilvl="0" w:tplc="7DEA13E8">
      <w:start w:val="1"/>
      <w:numFmt w:val="decimal"/>
      <w:lvlText w:val="%1."/>
      <w:lvlJc w:val="left"/>
      <w:pPr>
        <w:tabs>
          <w:tab w:val="num" w:pos="1080"/>
        </w:tabs>
        <w:ind w:left="108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7FD453C"/>
    <w:multiLevelType w:val="hybridMultilevel"/>
    <w:tmpl w:val="5B2E48CE"/>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BE3746"/>
    <w:multiLevelType w:val="hybridMultilevel"/>
    <w:tmpl w:val="2DAC824E"/>
    <w:lvl w:ilvl="0" w:tplc="EB8E2D52">
      <w:start w:val="2"/>
      <w:numFmt w:val="lowerLetter"/>
      <w:lvlText w:val="%1)"/>
      <w:lvlJc w:val="left"/>
      <w:pPr>
        <w:tabs>
          <w:tab w:val="num" w:pos="750"/>
        </w:tabs>
        <w:ind w:left="750" w:hanging="39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32E95D04"/>
    <w:multiLevelType w:val="hybridMultilevel"/>
    <w:tmpl w:val="4ED24310"/>
    <w:lvl w:ilvl="0" w:tplc="296EB026">
      <w:start w:val="1"/>
      <w:numFmt w:val="low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84005B"/>
    <w:multiLevelType w:val="hybridMultilevel"/>
    <w:tmpl w:val="803050B2"/>
    <w:lvl w:ilvl="0" w:tplc="1009000F">
      <w:start w:val="1"/>
      <w:numFmt w:val="decimal"/>
      <w:lvlText w:val="%1."/>
      <w:lvlJc w:val="left"/>
      <w:pPr>
        <w:tabs>
          <w:tab w:val="num" w:pos="360"/>
        </w:tabs>
        <w:ind w:left="360" w:hanging="360"/>
      </w:p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8" w15:restartNumberingAfterBreak="0">
    <w:nsid w:val="3D0643BD"/>
    <w:multiLevelType w:val="hybridMultilevel"/>
    <w:tmpl w:val="FE7C9F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754FD"/>
    <w:multiLevelType w:val="hybridMultilevel"/>
    <w:tmpl w:val="7E0CF6D8"/>
    <w:lvl w:ilvl="0" w:tplc="10090001">
      <w:start w:val="1"/>
      <w:numFmt w:val="bullet"/>
      <w:lvlText w:val=""/>
      <w:lvlJc w:val="left"/>
      <w:pPr>
        <w:tabs>
          <w:tab w:val="num" w:pos="1080"/>
        </w:tabs>
        <w:ind w:left="1080" w:hanging="360"/>
      </w:pPr>
      <w:rPr>
        <w:rFonts w:ascii="Symbol" w:hAnsi="Symbol"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93B702C"/>
    <w:multiLevelType w:val="hybridMultilevel"/>
    <w:tmpl w:val="0A74739C"/>
    <w:lvl w:ilvl="0" w:tplc="10090001">
      <w:start w:val="1"/>
      <w:numFmt w:val="bullet"/>
      <w:lvlText w:val=""/>
      <w:lvlJc w:val="left"/>
      <w:pPr>
        <w:tabs>
          <w:tab w:val="num" w:pos="720"/>
        </w:tabs>
        <w:ind w:left="720" w:hanging="360"/>
      </w:pPr>
      <w:rPr>
        <w:rFonts w:ascii="Symbol" w:hAnsi="Symbol" w:hint="default"/>
      </w:rPr>
    </w:lvl>
    <w:lvl w:ilvl="1" w:tplc="10090003">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F3237C"/>
    <w:multiLevelType w:val="hybridMultilevel"/>
    <w:tmpl w:val="5BDA2DBA"/>
    <w:lvl w:ilvl="0" w:tplc="C34E37B4">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656821C7"/>
    <w:multiLevelType w:val="hybridMultilevel"/>
    <w:tmpl w:val="4EBC09CE"/>
    <w:lvl w:ilvl="0" w:tplc="1009000F">
      <w:start w:val="4"/>
      <w:numFmt w:val="decimal"/>
      <w:lvlText w:val="%1."/>
      <w:lvlJc w:val="left"/>
      <w:pPr>
        <w:tabs>
          <w:tab w:val="num" w:pos="360"/>
        </w:tabs>
        <w:ind w:left="360" w:hanging="360"/>
      </w:pPr>
      <w:rPr>
        <w:rFonts w:hint="default"/>
      </w:rPr>
    </w:lvl>
    <w:lvl w:ilvl="1" w:tplc="10090001">
      <w:start w:val="1"/>
      <w:numFmt w:val="bullet"/>
      <w:lvlText w:val=""/>
      <w:lvlJc w:val="left"/>
      <w:pPr>
        <w:tabs>
          <w:tab w:val="num" w:pos="1080"/>
        </w:tabs>
        <w:ind w:left="1080" w:hanging="360"/>
      </w:pPr>
      <w:rPr>
        <w:rFonts w:ascii="Symbol" w:hAnsi="Symbol" w:hint="default"/>
      </w:r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3" w15:restartNumberingAfterBreak="0">
    <w:nsid w:val="657C1BB3"/>
    <w:multiLevelType w:val="hybridMultilevel"/>
    <w:tmpl w:val="F9501B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F53768"/>
    <w:multiLevelType w:val="hybridMultilevel"/>
    <w:tmpl w:val="61F8F98A"/>
    <w:lvl w:ilvl="0" w:tplc="DD6AED1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7B30F70"/>
    <w:multiLevelType w:val="hybridMultilevel"/>
    <w:tmpl w:val="DE0044AC"/>
    <w:lvl w:ilvl="0" w:tplc="04544312">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AC6C7C"/>
    <w:multiLevelType w:val="hybridMultilevel"/>
    <w:tmpl w:val="4D9CE494"/>
    <w:lvl w:ilvl="0" w:tplc="A6D01B8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49601A6"/>
    <w:multiLevelType w:val="hybridMultilevel"/>
    <w:tmpl w:val="20222E54"/>
    <w:lvl w:ilvl="0" w:tplc="AA68E2EC">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C552498"/>
    <w:multiLevelType w:val="hybridMultilevel"/>
    <w:tmpl w:val="4FF6FC74"/>
    <w:lvl w:ilvl="0" w:tplc="CB3EC626">
      <w:start w:val="1"/>
      <w:numFmt w:val="decimal"/>
      <w:lvlText w:val="%1-"/>
      <w:lvlJc w:val="left"/>
      <w:pPr>
        <w:tabs>
          <w:tab w:val="num" w:pos="1980"/>
        </w:tabs>
        <w:ind w:left="1980" w:hanging="360"/>
      </w:pPr>
      <w:rPr>
        <w:rFonts w:hint="default"/>
      </w:rPr>
    </w:lvl>
    <w:lvl w:ilvl="1" w:tplc="10090019" w:tentative="1">
      <w:start w:val="1"/>
      <w:numFmt w:val="lowerLetter"/>
      <w:lvlText w:val="%2."/>
      <w:lvlJc w:val="left"/>
      <w:pPr>
        <w:tabs>
          <w:tab w:val="num" w:pos="2700"/>
        </w:tabs>
        <w:ind w:left="2700" w:hanging="360"/>
      </w:pPr>
    </w:lvl>
    <w:lvl w:ilvl="2" w:tplc="1009001B" w:tentative="1">
      <w:start w:val="1"/>
      <w:numFmt w:val="lowerRoman"/>
      <w:lvlText w:val="%3."/>
      <w:lvlJc w:val="right"/>
      <w:pPr>
        <w:tabs>
          <w:tab w:val="num" w:pos="3420"/>
        </w:tabs>
        <w:ind w:left="3420" w:hanging="180"/>
      </w:pPr>
    </w:lvl>
    <w:lvl w:ilvl="3" w:tplc="1009000F" w:tentative="1">
      <w:start w:val="1"/>
      <w:numFmt w:val="decimal"/>
      <w:lvlText w:val="%4."/>
      <w:lvlJc w:val="left"/>
      <w:pPr>
        <w:tabs>
          <w:tab w:val="num" w:pos="4140"/>
        </w:tabs>
        <w:ind w:left="4140" w:hanging="360"/>
      </w:pPr>
    </w:lvl>
    <w:lvl w:ilvl="4" w:tplc="10090019" w:tentative="1">
      <w:start w:val="1"/>
      <w:numFmt w:val="lowerLetter"/>
      <w:lvlText w:val="%5."/>
      <w:lvlJc w:val="left"/>
      <w:pPr>
        <w:tabs>
          <w:tab w:val="num" w:pos="4860"/>
        </w:tabs>
        <w:ind w:left="4860" w:hanging="360"/>
      </w:pPr>
    </w:lvl>
    <w:lvl w:ilvl="5" w:tplc="1009001B" w:tentative="1">
      <w:start w:val="1"/>
      <w:numFmt w:val="lowerRoman"/>
      <w:lvlText w:val="%6."/>
      <w:lvlJc w:val="right"/>
      <w:pPr>
        <w:tabs>
          <w:tab w:val="num" w:pos="5580"/>
        </w:tabs>
        <w:ind w:left="5580" w:hanging="180"/>
      </w:pPr>
    </w:lvl>
    <w:lvl w:ilvl="6" w:tplc="1009000F" w:tentative="1">
      <w:start w:val="1"/>
      <w:numFmt w:val="decimal"/>
      <w:lvlText w:val="%7."/>
      <w:lvlJc w:val="left"/>
      <w:pPr>
        <w:tabs>
          <w:tab w:val="num" w:pos="6300"/>
        </w:tabs>
        <w:ind w:left="6300" w:hanging="360"/>
      </w:pPr>
    </w:lvl>
    <w:lvl w:ilvl="7" w:tplc="10090019" w:tentative="1">
      <w:start w:val="1"/>
      <w:numFmt w:val="lowerLetter"/>
      <w:lvlText w:val="%8."/>
      <w:lvlJc w:val="left"/>
      <w:pPr>
        <w:tabs>
          <w:tab w:val="num" w:pos="7020"/>
        </w:tabs>
        <w:ind w:left="7020" w:hanging="360"/>
      </w:pPr>
    </w:lvl>
    <w:lvl w:ilvl="8" w:tplc="1009001B" w:tentative="1">
      <w:start w:val="1"/>
      <w:numFmt w:val="lowerRoman"/>
      <w:lvlText w:val="%9."/>
      <w:lvlJc w:val="right"/>
      <w:pPr>
        <w:tabs>
          <w:tab w:val="num" w:pos="7740"/>
        </w:tabs>
        <w:ind w:left="7740" w:hanging="180"/>
      </w:pPr>
    </w:lvl>
  </w:abstractNum>
  <w:abstractNum w:abstractNumId="19" w15:restartNumberingAfterBreak="0">
    <w:nsid w:val="7E7F1CEC"/>
    <w:multiLevelType w:val="hybridMultilevel"/>
    <w:tmpl w:val="6BF2AEF0"/>
    <w:lvl w:ilvl="0" w:tplc="82B86FD2">
      <w:start w:val="1"/>
      <w:numFmt w:val="lowerLetter"/>
      <w:lvlText w:val="%1)"/>
      <w:lvlJc w:val="left"/>
      <w:pPr>
        <w:tabs>
          <w:tab w:val="num" w:pos="735"/>
        </w:tabs>
        <w:ind w:left="735" w:hanging="375"/>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2"/>
  </w:num>
  <w:num w:numId="4">
    <w:abstractNumId w:val="3"/>
  </w:num>
  <w:num w:numId="5">
    <w:abstractNumId w:val="12"/>
  </w:num>
  <w:num w:numId="6">
    <w:abstractNumId w:val="9"/>
  </w:num>
  <w:num w:numId="7">
    <w:abstractNumId w:val="8"/>
  </w:num>
  <w:num w:numId="8">
    <w:abstractNumId w:val="4"/>
  </w:num>
  <w:num w:numId="9">
    <w:abstractNumId w:val="10"/>
  </w:num>
  <w:num w:numId="10">
    <w:abstractNumId w:val="11"/>
  </w:num>
  <w:num w:numId="11">
    <w:abstractNumId w:val="17"/>
  </w:num>
  <w:num w:numId="12">
    <w:abstractNumId w:val="18"/>
  </w:num>
  <w:num w:numId="13">
    <w:abstractNumId w:val="19"/>
  </w:num>
  <w:num w:numId="14">
    <w:abstractNumId w:val="5"/>
  </w:num>
  <w:num w:numId="15">
    <w:abstractNumId w:val="15"/>
  </w:num>
  <w:num w:numId="16">
    <w:abstractNumId w:val="14"/>
  </w:num>
  <w:num w:numId="17">
    <w:abstractNumId w:val="16"/>
  </w:num>
  <w:num w:numId="18">
    <w:abstractNumId w:val="15"/>
  </w:num>
  <w:num w:numId="19">
    <w:abstractNumId w:val="15"/>
  </w:num>
  <w:num w:numId="20">
    <w:abstractNumId w:val="13"/>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D57"/>
    <w:rsid w:val="00003109"/>
    <w:rsid w:val="000032FB"/>
    <w:rsid w:val="00005882"/>
    <w:rsid w:val="00020627"/>
    <w:rsid w:val="000257E0"/>
    <w:rsid w:val="000341F8"/>
    <w:rsid w:val="00040E46"/>
    <w:rsid w:val="00050966"/>
    <w:rsid w:val="000511BA"/>
    <w:rsid w:val="00052835"/>
    <w:rsid w:val="00057DA3"/>
    <w:rsid w:val="00061E4B"/>
    <w:rsid w:val="00063019"/>
    <w:rsid w:val="000736FF"/>
    <w:rsid w:val="00077591"/>
    <w:rsid w:val="000A17D2"/>
    <w:rsid w:val="000A2C0F"/>
    <w:rsid w:val="000A4AD5"/>
    <w:rsid w:val="000A5113"/>
    <w:rsid w:val="000B02C3"/>
    <w:rsid w:val="000B274E"/>
    <w:rsid w:val="000B71EA"/>
    <w:rsid w:val="000C7356"/>
    <w:rsid w:val="000D2EDC"/>
    <w:rsid w:val="000D3818"/>
    <w:rsid w:val="000E39A9"/>
    <w:rsid w:val="000E3DB8"/>
    <w:rsid w:val="000E4407"/>
    <w:rsid w:val="000E4E23"/>
    <w:rsid w:val="000E57F6"/>
    <w:rsid w:val="000F7F1E"/>
    <w:rsid w:val="0011204F"/>
    <w:rsid w:val="00143ED4"/>
    <w:rsid w:val="00144828"/>
    <w:rsid w:val="0015331B"/>
    <w:rsid w:val="00155AFE"/>
    <w:rsid w:val="00155F2B"/>
    <w:rsid w:val="00156818"/>
    <w:rsid w:val="0016376A"/>
    <w:rsid w:val="001658A3"/>
    <w:rsid w:val="0017040B"/>
    <w:rsid w:val="00173505"/>
    <w:rsid w:val="001743C4"/>
    <w:rsid w:val="00181F5D"/>
    <w:rsid w:val="001841A1"/>
    <w:rsid w:val="00191F2C"/>
    <w:rsid w:val="00197953"/>
    <w:rsid w:val="001A165C"/>
    <w:rsid w:val="001B05EB"/>
    <w:rsid w:val="001B3D29"/>
    <w:rsid w:val="001B51E3"/>
    <w:rsid w:val="001B57C2"/>
    <w:rsid w:val="001C29BA"/>
    <w:rsid w:val="001C2CC1"/>
    <w:rsid w:val="001C583A"/>
    <w:rsid w:val="001E7FB4"/>
    <w:rsid w:val="001F1648"/>
    <w:rsid w:val="001F387F"/>
    <w:rsid w:val="001F418C"/>
    <w:rsid w:val="001F706A"/>
    <w:rsid w:val="001F7710"/>
    <w:rsid w:val="002039A9"/>
    <w:rsid w:val="002127D7"/>
    <w:rsid w:val="00213BAB"/>
    <w:rsid w:val="00216C30"/>
    <w:rsid w:val="00224F94"/>
    <w:rsid w:val="00225A6A"/>
    <w:rsid w:val="00247BDD"/>
    <w:rsid w:val="002540B7"/>
    <w:rsid w:val="00257D57"/>
    <w:rsid w:val="00262665"/>
    <w:rsid w:val="00263E65"/>
    <w:rsid w:val="002673DC"/>
    <w:rsid w:val="00274A64"/>
    <w:rsid w:val="00282210"/>
    <w:rsid w:val="002927E2"/>
    <w:rsid w:val="002A1B8F"/>
    <w:rsid w:val="002A4ACE"/>
    <w:rsid w:val="002B159B"/>
    <w:rsid w:val="002B2BB9"/>
    <w:rsid w:val="002C11EF"/>
    <w:rsid w:val="002C7B80"/>
    <w:rsid w:val="002E2717"/>
    <w:rsid w:val="002E4FF9"/>
    <w:rsid w:val="002E55F4"/>
    <w:rsid w:val="002F3395"/>
    <w:rsid w:val="002F501B"/>
    <w:rsid w:val="002F654C"/>
    <w:rsid w:val="002F67DB"/>
    <w:rsid w:val="003031D4"/>
    <w:rsid w:val="00310165"/>
    <w:rsid w:val="0031115D"/>
    <w:rsid w:val="00316BDE"/>
    <w:rsid w:val="0032123B"/>
    <w:rsid w:val="0032369F"/>
    <w:rsid w:val="003251A2"/>
    <w:rsid w:val="0032546F"/>
    <w:rsid w:val="00333E1C"/>
    <w:rsid w:val="00337B06"/>
    <w:rsid w:val="00344FB6"/>
    <w:rsid w:val="00345E85"/>
    <w:rsid w:val="00347DE3"/>
    <w:rsid w:val="00364C78"/>
    <w:rsid w:val="00366C75"/>
    <w:rsid w:val="0037106D"/>
    <w:rsid w:val="0037781A"/>
    <w:rsid w:val="003839EF"/>
    <w:rsid w:val="00393EB2"/>
    <w:rsid w:val="00394707"/>
    <w:rsid w:val="003A698E"/>
    <w:rsid w:val="003B118F"/>
    <w:rsid w:val="003B2025"/>
    <w:rsid w:val="003B236E"/>
    <w:rsid w:val="003B33A2"/>
    <w:rsid w:val="003C0223"/>
    <w:rsid w:val="003D0460"/>
    <w:rsid w:val="003D169D"/>
    <w:rsid w:val="003E0C7F"/>
    <w:rsid w:val="003F02C8"/>
    <w:rsid w:val="003F3C74"/>
    <w:rsid w:val="003F5F6B"/>
    <w:rsid w:val="00400B6A"/>
    <w:rsid w:val="00404680"/>
    <w:rsid w:val="00407BD9"/>
    <w:rsid w:val="00407FB6"/>
    <w:rsid w:val="00411D5B"/>
    <w:rsid w:val="00412D21"/>
    <w:rsid w:val="0042464F"/>
    <w:rsid w:val="00424CC3"/>
    <w:rsid w:val="0042586E"/>
    <w:rsid w:val="0042591B"/>
    <w:rsid w:val="004413B6"/>
    <w:rsid w:val="00455BD2"/>
    <w:rsid w:val="00456F48"/>
    <w:rsid w:val="004716ED"/>
    <w:rsid w:val="00475163"/>
    <w:rsid w:val="00487E8F"/>
    <w:rsid w:val="0049467B"/>
    <w:rsid w:val="004957CC"/>
    <w:rsid w:val="004A3ED3"/>
    <w:rsid w:val="004B2A56"/>
    <w:rsid w:val="004B2FC1"/>
    <w:rsid w:val="004B3EBF"/>
    <w:rsid w:val="004B3EE4"/>
    <w:rsid w:val="004D7D3A"/>
    <w:rsid w:val="004F26E6"/>
    <w:rsid w:val="00500094"/>
    <w:rsid w:val="005139D6"/>
    <w:rsid w:val="00520EC8"/>
    <w:rsid w:val="00523D3F"/>
    <w:rsid w:val="00527ABF"/>
    <w:rsid w:val="005312D3"/>
    <w:rsid w:val="00531CBF"/>
    <w:rsid w:val="00533D73"/>
    <w:rsid w:val="00540A71"/>
    <w:rsid w:val="00544291"/>
    <w:rsid w:val="00546B68"/>
    <w:rsid w:val="005552DC"/>
    <w:rsid w:val="00560706"/>
    <w:rsid w:val="0056099B"/>
    <w:rsid w:val="005636A4"/>
    <w:rsid w:val="005644B1"/>
    <w:rsid w:val="00571888"/>
    <w:rsid w:val="0057189E"/>
    <w:rsid w:val="00574453"/>
    <w:rsid w:val="005842A0"/>
    <w:rsid w:val="00584884"/>
    <w:rsid w:val="00591ECF"/>
    <w:rsid w:val="005A134C"/>
    <w:rsid w:val="005B408B"/>
    <w:rsid w:val="005C0068"/>
    <w:rsid w:val="005C102D"/>
    <w:rsid w:val="005E136F"/>
    <w:rsid w:val="005E1467"/>
    <w:rsid w:val="006039D7"/>
    <w:rsid w:val="00622367"/>
    <w:rsid w:val="00631FE2"/>
    <w:rsid w:val="00632495"/>
    <w:rsid w:val="00633BCE"/>
    <w:rsid w:val="0063654E"/>
    <w:rsid w:val="00643AE5"/>
    <w:rsid w:val="0065265B"/>
    <w:rsid w:val="006558ED"/>
    <w:rsid w:val="0065607B"/>
    <w:rsid w:val="00656A70"/>
    <w:rsid w:val="00657533"/>
    <w:rsid w:val="00661BFE"/>
    <w:rsid w:val="0066286E"/>
    <w:rsid w:val="00663568"/>
    <w:rsid w:val="00673B15"/>
    <w:rsid w:val="006740EE"/>
    <w:rsid w:val="00674906"/>
    <w:rsid w:val="00692CA6"/>
    <w:rsid w:val="00697BEC"/>
    <w:rsid w:val="006A1641"/>
    <w:rsid w:val="006B00F9"/>
    <w:rsid w:val="006B1AD5"/>
    <w:rsid w:val="006B1F70"/>
    <w:rsid w:val="006B5E66"/>
    <w:rsid w:val="006B6F88"/>
    <w:rsid w:val="006C0832"/>
    <w:rsid w:val="006C5F80"/>
    <w:rsid w:val="006E5F75"/>
    <w:rsid w:val="006F1630"/>
    <w:rsid w:val="006F3C57"/>
    <w:rsid w:val="006F4CE5"/>
    <w:rsid w:val="00704EEE"/>
    <w:rsid w:val="00712B44"/>
    <w:rsid w:val="00727F65"/>
    <w:rsid w:val="00733ECA"/>
    <w:rsid w:val="00734917"/>
    <w:rsid w:val="00735AD2"/>
    <w:rsid w:val="00737666"/>
    <w:rsid w:val="00737C12"/>
    <w:rsid w:val="00744CC8"/>
    <w:rsid w:val="00752C2A"/>
    <w:rsid w:val="0075328A"/>
    <w:rsid w:val="0076340F"/>
    <w:rsid w:val="007754CF"/>
    <w:rsid w:val="00780C43"/>
    <w:rsid w:val="00790FB6"/>
    <w:rsid w:val="007A6901"/>
    <w:rsid w:val="007B19CC"/>
    <w:rsid w:val="007B3D2D"/>
    <w:rsid w:val="007C19B8"/>
    <w:rsid w:val="007D0D03"/>
    <w:rsid w:val="007D13B2"/>
    <w:rsid w:val="007D75EB"/>
    <w:rsid w:val="007E0C66"/>
    <w:rsid w:val="007E1AB7"/>
    <w:rsid w:val="007E7069"/>
    <w:rsid w:val="007F2BCA"/>
    <w:rsid w:val="007F4B2D"/>
    <w:rsid w:val="008060D6"/>
    <w:rsid w:val="00813F71"/>
    <w:rsid w:val="00822777"/>
    <w:rsid w:val="00822E7E"/>
    <w:rsid w:val="008236C5"/>
    <w:rsid w:val="00825D01"/>
    <w:rsid w:val="00831363"/>
    <w:rsid w:val="008329E4"/>
    <w:rsid w:val="00835E67"/>
    <w:rsid w:val="00843A9C"/>
    <w:rsid w:val="00855C10"/>
    <w:rsid w:val="008600FE"/>
    <w:rsid w:val="008608BA"/>
    <w:rsid w:val="00860E25"/>
    <w:rsid w:val="00860FCB"/>
    <w:rsid w:val="00863E4A"/>
    <w:rsid w:val="00864AD4"/>
    <w:rsid w:val="008673F2"/>
    <w:rsid w:val="008706C0"/>
    <w:rsid w:val="008765E4"/>
    <w:rsid w:val="0088253B"/>
    <w:rsid w:val="00883EB2"/>
    <w:rsid w:val="008843C7"/>
    <w:rsid w:val="00891B69"/>
    <w:rsid w:val="00892022"/>
    <w:rsid w:val="008A604C"/>
    <w:rsid w:val="008B60D8"/>
    <w:rsid w:val="008B711F"/>
    <w:rsid w:val="008C6E98"/>
    <w:rsid w:val="008D02DC"/>
    <w:rsid w:val="008E1A19"/>
    <w:rsid w:val="008F1994"/>
    <w:rsid w:val="008F2555"/>
    <w:rsid w:val="008F75A1"/>
    <w:rsid w:val="00900B81"/>
    <w:rsid w:val="009052D7"/>
    <w:rsid w:val="009070B6"/>
    <w:rsid w:val="00915BF6"/>
    <w:rsid w:val="00915FBD"/>
    <w:rsid w:val="0092040D"/>
    <w:rsid w:val="00926A5E"/>
    <w:rsid w:val="00927FF7"/>
    <w:rsid w:val="009323ED"/>
    <w:rsid w:val="00932DF7"/>
    <w:rsid w:val="0093461E"/>
    <w:rsid w:val="00942AD1"/>
    <w:rsid w:val="00945553"/>
    <w:rsid w:val="009469ED"/>
    <w:rsid w:val="00967717"/>
    <w:rsid w:val="009716DA"/>
    <w:rsid w:val="00995C49"/>
    <w:rsid w:val="009A1845"/>
    <w:rsid w:val="009A1E96"/>
    <w:rsid w:val="009A4816"/>
    <w:rsid w:val="009B06B3"/>
    <w:rsid w:val="009B46E4"/>
    <w:rsid w:val="009C3D80"/>
    <w:rsid w:val="009C45F5"/>
    <w:rsid w:val="009C69AA"/>
    <w:rsid w:val="009D46C5"/>
    <w:rsid w:val="009E0D33"/>
    <w:rsid w:val="009E56D8"/>
    <w:rsid w:val="009F0468"/>
    <w:rsid w:val="009F46AC"/>
    <w:rsid w:val="009F5117"/>
    <w:rsid w:val="009F6362"/>
    <w:rsid w:val="00A06FCA"/>
    <w:rsid w:val="00A15C39"/>
    <w:rsid w:val="00A20D8E"/>
    <w:rsid w:val="00A2624B"/>
    <w:rsid w:val="00A27974"/>
    <w:rsid w:val="00A33441"/>
    <w:rsid w:val="00A44EF0"/>
    <w:rsid w:val="00A46FB5"/>
    <w:rsid w:val="00A53E9F"/>
    <w:rsid w:val="00A64028"/>
    <w:rsid w:val="00A64F11"/>
    <w:rsid w:val="00A66630"/>
    <w:rsid w:val="00A74AF1"/>
    <w:rsid w:val="00A7651C"/>
    <w:rsid w:val="00A839A0"/>
    <w:rsid w:val="00A87CF3"/>
    <w:rsid w:val="00AB2206"/>
    <w:rsid w:val="00AB39E1"/>
    <w:rsid w:val="00AB4183"/>
    <w:rsid w:val="00AB4F67"/>
    <w:rsid w:val="00AC0D22"/>
    <w:rsid w:val="00AC5F90"/>
    <w:rsid w:val="00AC603C"/>
    <w:rsid w:val="00AC71D1"/>
    <w:rsid w:val="00AD402C"/>
    <w:rsid w:val="00AD5955"/>
    <w:rsid w:val="00AD6B25"/>
    <w:rsid w:val="00AE66C5"/>
    <w:rsid w:val="00AE7229"/>
    <w:rsid w:val="00AF2587"/>
    <w:rsid w:val="00B00F9B"/>
    <w:rsid w:val="00B0230E"/>
    <w:rsid w:val="00B02358"/>
    <w:rsid w:val="00B15F0F"/>
    <w:rsid w:val="00B20358"/>
    <w:rsid w:val="00B24279"/>
    <w:rsid w:val="00B25ABB"/>
    <w:rsid w:val="00B26F10"/>
    <w:rsid w:val="00B344EA"/>
    <w:rsid w:val="00B42043"/>
    <w:rsid w:val="00B54671"/>
    <w:rsid w:val="00B62E1D"/>
    <w:rsid w:val="00B64160"/>
    <w:rsid w:val="00B646B0"/>
    <w:rsid w:val="00B649A8"/>
    <w:rsid w:val="00B7048A"/>
    <w:rsid w:val="00B7293E"/>
    <w:rsid w:val="00B7655B"/>
    <w:rsid w:val="00B81E26"/>
    <w:rsid w:val="00B83078"/>
    <w:rsid w:val="00B914F8"/>
    <w:rsid w:val="00B91B24"/>
    <w:rsid w:val="00B956E0"/>
    <w:rsid w:val="00BB2769"/>
    <w:rsid w:val="00BB7215"/>
    <w:rsid w:val="00BE2D21"/>
    <w:rsid w:val="00BE4B96"/>
    <w:rsid w:val="00BF06CD"/>
    <w:rsid w:val="00BF0B4E"/>
    <w:rsid w:val="00BF1D26"/>
    <w:rsid w:val="00BF65B5"/>
    <w:rsid w:val="00BF69A2"/>
    <w:rsid w:val="00BF7BED"/>
    <w:rsid w:val="00C007DE"/>
    <w:rsid w:val="00C05D28"/>
    <w:rsid w:val="00C06B65"/>
    <w:rsid w:val="00C15C66"/>
    <w:rsid w:val="00C17351"/>
    <w:rsid w:val="00C177B1"/>
    <w:rsid w:val="00C17B68"/>
    <w:rsid w:val="00C235D5"/>
    <w:rsid w:val="00C23A2C"/>
    <w:rsid w:val="00C34B2B"/>
    <w:rsid w:val="00C43894"/>
    <w:rsid w:val="00C50ED8"/>
    <w:rsid w:val="00C57A78"/>
    <w:rsid w:val="00C626AD"/>
    <w:rsid w:val="00C64DF9"/>
    <w:rsid w:val="00C71A47"/>
    <w:rsid w:val="00C72D56"/>
    <w:rsid w:val="00C75DC9"/>
    <w:rsid w:val="00C835D1"/>
    <w:rsid w:val="00C96CE3"/>
    <w:rsid w:val="00CA07F3"/>
    <w:rsid w:val="00CA5E96"/>
    <w:rsid w:val="00CA7615"/>
    <w:rsid w:val="00CC36A6"/>
    <w:rsid w:val="00CD0902"/>
    <w:rsid w:val="00CD0D8B"/>
    <w:rsid w:val="00CD5090"/>
    <w:rsid w:val="00CD5307"/>
    <w:rsid w:val="00CE2096"/>
    <w:rsid w:val="00CF070A"/>
    <w:rsid w:val="00CF08D7"/>
    <w:rsid w:val="00CF7230"/>
    <w:rsid w:val="00D07F44"/>
    <w:rsid w:val="00D10C40"/>
    <w:rsid w:val="00D127B3"/>
    <w:rsid w:val="00D1648B"/>
    <w:rsid w:val="00D17164"/>
    <w:rsid w:val="00D22C6D"/>
    <w:rsid w:val="00D256CD"/>
    <w:rsid w:val="00D27CCC"/>
    <w:rsid w:val="00D31298"/>
    <w:rsid w:val="00D42D73"/>
    <w:rsid w:val="00D47787"/>
    <w:rsid w:val="00D71335"/>
    <w:rsid w:val="00D71B69"/>
    <w:rsid w:val="00D7286E"/>
    <w:rsid w:val="00D736B6"/>
    <w:rsid w:val="00D73BE1"/>
    <w:rsid w:val="00D76207"/>
    <w:rsid w:val="00D8366D"/>
    <w:rsid w:val="00D854A0"/>
    <w:rsid w:val="00D8717C"/>
    <w:rsid w:val="00D95F06"/>
    <w:rsid w:val="00DA0235"/>
    <w:rsid w:val="00DA02FD"/>
    <w:rsid w:val="00DA0C22"/>
    <w:rsid w:val="00DA343E"/>
    <w:rsid w:val="00DB7F19"/>
    <w:rsid w:val="00DC2083"/>
    <w:rsid w:val="00DC43D4"/>
    <w:rsid w:val="00DC5B8E"/>
    <w:rsid w:val="00DC6E46"/>
    <w:rsid w:val="00DD1E77"/>
    <w:rsid w:val="00DD7B40"/>
    <w:rsid w:val="00DF14CD"/>
    <w:rsid w:val="00DF1A98"/>
    <w:rsid w:val="00DF1FCD"/>
    <w:rsid w:val="00DF6421"/>
    <w:rsid w:val="00E1660A"/>
    <w:rsid w:val="00E2263C"/>
    <w:rsid w:val="00E26074"/>
    <w:rsid w:val="00E34CEE"/>
    <w:rsid w:val="00E35A07"/>
    <w:rsid w:val="00E368BE"/>
    <w:rsid w:val="00E46852"/>
    <w:rsid w:val="00E5031E"/>
    <w:rsid w:val="00E51A89"/>
    <w:rsid w:val="00E53226"/>
    <w:rsid w:val="00E532E2"/>
    <w:rsid w:val="00E56749"/>
    <w:rsid w:val="00E62380"/>
    <w:rsid w:val="00E70FDA"/>
    <w:rsid w:val="00E84AEE"/>
    <w:rsid w:val="00E95C44"/>
    <w:rsid w:val="00EB0E65"/>
    <w:rsid w:val="00EB19F6"/>
    <w:rsid w:val="00EB26D6"/>
    <w:rsid w:val="00EC2CEA"/>
    <w:rsid w:val="00EC3D4C"/>
    <w:rsid w:val="00EC4596"/>
    <w:rsid w:val="00EC5139"/>
    <w:rsid w:val="00ED0650"/>
    <w:rsid w:val="00ED11DF"/>
    <w:rsid w:val="00ED19EC"/>
    <w:rsid w:val="00ED43AA"/>
    <w:rsid w:val="00ED7197"/>
    <w:rsid w:val="00F00334"/>
    <w:rsid w:val="00F01E7A"/>
    <w:rsid w:val="00F0411C"/>
    <w:rsid w:val="00F05F4C"/>
    <w:rsid w:val="00F06408"/>
    <w:rsid w:val="00F1098C"/>
    <w:rsid w:val="00F123CA"/>
    <w:rsid w:val="00F148D8"/>
    <w:rsid w:val="00F177BF"/>
    <w:rsid w:val="00F231A4"/>
    <w:rsid w:val="00F4390A"/>
    <w:rsid w:val="00F43CC5"/>
    <w:rsid w:val="00F52C54"/>
    <w:rsid w:val="00F531F7"/>
    <w:rsid w:val="00F62E87"/>
    <w:rsid w:val="00F67855"/>
    <w:rsid w:val="00F762BF"/>
    <w:rsid w:val="00F770CF"/>
    <w:rsid w:val="00F77C6F"/>
    <w:rsid w:val="00F8126E"/>
    <w:rsid w:val="00F91D14"/>
    <w:rsid w:val="00FB5970"/>
    <w:rsid w:val="00FC6B6E"/>
    <w:rsid w:val="00FC6C69"/>
    <w:rsid w:val="00FD226D"/>
    <w:rsid w:val="00FD6E64"/>
    <w:rsid w:val="00FE376A"/>
    <w:rsid w:val="00FE495A"/>
    <w:rsid w:val="00FF3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2E37C6"/>
  <w15:docId w15:val="{D436C369-49DE-4F7B-8866-A4BE9B354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0C7F"/>
    <w:pPr>
      <w:jc w:val="both"/>
    </w:pPr>
    <w:rPr>
      <w:sz w:val="24"/>
      <w:szCs w:val="24"/>
      <w:lang w:eastAsia="en-CA"/>
    </w:rPr>
  </w:style>
  <w:style w:type="paragraph" w:styleId="Heading1">
    <w:name w:val="heading 1"/>
    <w:basedOn w:val="Normal"/>
    <w:next w:val="Normal"/>
    <w:link w:val="Heading1Char"/>
    <w:qFormat/>
    <w:rsid w:val="003E0C7F"/>
    <w:pPr>
      <w:keepNext/>
      <w:tabs>
        <w:tab w:val="center" w:pos="3240"/>
        <w:tab w:val="center" w:pos="4500"/>
        <w:tab w:val="center" w:pos="6030"/>
        <w:tab w:val="right" w:pos="7920"/>
      </w:tabs>
      <w:overflowPunct w:val="0"/>
      <w:autoSpaceDE w:val="0"/>
      <w:autoSpaceDN w:val="0"/>
      <w:adjustRightInd w:val="0"/>
      <w:spacing w:before="360" w:after="240"/>
      <w:ind w:left="720" w:hanging="360"/>
      <w:textAlignment w:val="baseline"/>
      <w:outlineLvl w:val="0"/>
    </w:pPr>
    <w:rPr>
      <w:b/>
      <w:lang w:eastAsia="en-US"/>
    </w:rPr>
  </w:style>
  <w:style w:type="paragraph" w:styleId="Heading2">
    <w:name w:val="heading 2"/>
    <w:basedOn w:val="Normal"/>
    <w:next w:val="Normal"/>
    <w:link w:val="Heading2Char"/>
    <w:unhideWhenUsed/>
    <w:qFormat/>
    <w:rsid w:val="003E0C7F"/>
    <w:pPr>
      <w:keepNext/>
      <w:spacing w:before="240" w:after="240"/>
      <w:ind w:left="720"/>
      <w:outlineLvl w:val="1"/>
    </w:pPr>
    <w:rPr>
      <w:rFonts w:ascii="Cambria" w:hAnsi="Cambria"/>
      <w:b/>
      <w:bCs/>
      <w:i/>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4906"/>
    <w:pPr>
      <w:spacing w:after="240"/>
    </w:pPr>
    <w:rPr>
      <w:lang w:eastAsia="en-US"/>
    </w:rPr>
  </w:style>
  <w:style w:type="character" w:customStyle="1" w:styleId="BodyTextChar">
    <w:name w:val="Body Text Char"/>
    <w:link w:val="BodyText"/>
    <w:semiHidden/>
    <w:locked/>
    <w:rsid w:val="00674906"/>
    <w:rPr>
      <w:sz w:val="24"/>
      <w:szCs w:val="24"/>
      <w:lang w:val="fr-CA" w:eastAsia="en-US" w:bidi="ar-SA"/>
    </w:rPr>
  </w:style>
  <w:style w:type="paragraph" w:styleId="BalloonText">
    <w:name w:val="Balloon Text"/>
    <w:basedOn w:val="Normal"/>
    <w:semiHidden/>
    <w:rsid w:val="00345E85"/>
    <w:rPr>
      <w:rFonts w:ascii="Tahoma" w:hAnsi="Tahoma" w:cs="Tahoma"/>
      <w:sz w:val="16"/>
      <w:szCs w:val="16"/>
    </w:rPr>
  </w:style>
  <w:style w:type="character" w:styleId="Hyperlink">
    <w:name w:val="Hyperlink"/>
    <w:uiPriority w:val="99"/>
    <w:rsid w:val="00656A70"/>
    <w:rPr>
      <w:color w:val="0000FF"/>
      <w:u w:val="single"/>
    </w:rPr>
  </w:style>
  <w:style w:type="character" w:customStyle="1" w:styleId="Heading1Char">
    <w:name w:val="Heading 1 Char"/>
    <w:link w:val="Heading1"/>
    <w:rsid w:val="003E0C7F"/>
    <w:rPr>
      <w:b/>
      <w:sz w:val="24"/>
      <w:szCs w:val="24"/>
    </w:rPr>
  </w:style>
  <w:style w:type="paragraph" w:customStyle="1" w:styleId="textnotes">
    <w:name w:val="text notes"/>
    <w:aliases w:val="TN,tn,textnotes,tn Char Char Char"/>
    <w:basedOn w:val="Normal"/>
    <w:link w:val="textnotesChar"/>
    <w:rsid w:val="001F418C"/>
    <w:pPr>
      <w:tabs>
        <w:tab w:val="decimal" w:pos="6380"/>
        <w:tab w:val="decimal" w:pos="7920"/>
      </w:tabs>
      <w:overflowPunct w:val="0"/>
      <w:autoSpaceDE w:val="0"/>
      <w:autoSpaceDN w:val="0"/>
      <w:adjustRightInd w:val="0"/>
      <w:textAlignment w:val="baseline"/>
    </w:pPr>
    <w:rPr>
      <w:sz w:val="20"/>
      <w:szCs w:val="20"/>
      <w:lang w:eastAsia="en-US"/>
    </w:rPr>
  </w:style>
  <w:style w:type="character" w:customStyle="1" w:styleId="textnotesChar">
    <w:name w:val="text notes Char"/>
    <w:aliases w:val="TN Char,tn Char"/>
    <w:basedOn w:val="DefaultParagraphFont"/>
    <w:link w:val="textnotes"/>
    <w:rsid w:val="001F418C"/>
  </w:style>
  <w:style w:type="paragraph" w:styleId="ListParagraph">
    <w:name w:val="List Paragraph"/>
    <w:basedOn w:val="Normal"/>
    <w:uiPriority w:val="34"/>
    <w:qFormat/>
    <w:rsid w:val="001F418C"/>
    <w:pPr>
      <w:overflowPunct w:val="0"/>
      <w:autoSpaceDE w:val="0"/>
      <w:autoSpaceDN w:val="0"/>
      <w:adjustRightInd w:val="0"/>
      <w:ind w:left="720"/>
      <w:contextualSpacing/>
      <w:textAlignment w:val="baseline"/>
    </w:pPr>
    <w:rPr>
      <w:szCs w:val="20"/>
      <w:lang w:eastAsia="en-US"/>
    </w:rPr>
  </w:style>
  <w:style w:type="character" w:styleId="FootnoteReference">
    <w:name w:val="footnote reference"/>
    <w:rsid w:val="001F418C"/>
    <w:rPr>
      <w:vertAlign w:val="superscript"/>
    </w:rPr>
  </w:style>
  <w:style w:type="paragraph" w:customStyle="1" w:styleId="statement">
    <w:name w:val="statement"/>
    <w:aliases w:val="S,s,S+"/>
    <w:basedOn w:val="Normal"/>
    <w:link w:val="statementChar"/>
    <w:rsid w:val="001F418C"/>
    <w:pPr>
      <w:tabs>
        <w:tab w:val="decimal" w:pos="6380"/>
        <w:tab w:val="decimal" w:pos="7920"/>
      </w:tabs>
      <w:overflowPunct w:val="0"/>
      <w:autoSpaceDE w:val="0"/>
      <w:autoSpaceDN w:val="0"/>
      <w:adjustRightInd w:val="0"/>
      <w:textAlignment w:val="baseline"/>
    </w:pPr>
    <w:rPr>
      <w:sz w:val="20"/>
      <w:szCs w:val="20"/>
      <w:lang w:eastAsia="en-US"/>
    </w:rPr>
  </w:style>
  <w:style w:type="paragraph" w:customStyle="1" w:styleId="years">
    <w:name w:val="years"/>
    <w:aliases w:val="Y,y"/>
    <w:basedOn w:val="Normal"/>
    <w:rsid w:val="001F418C"/>
    <w:pPr>
      <w:tabs>
        <w:tab w:val="right" w:pos="6380"/>
        <w:tab w:val="right" w:pos="7920"/>
      </w:tabs>
      <w:overflowPunct w:val="0"/>
      <w:autoSpaceDE w:val="0"/>
      <w:autoSpaceDN w:val="0"/>
      <w:adjustRightInd w:val="0"/>
      <w:ind w:right="6"/>
      <w:textAlignment w:val="baseline"/>
    </w:pPr>
    <w:rPr>
      <w:b/>
      <w:sz w:val="20"/>
      <w:szCs w:val="20"/>
      <w:lang w:eastAsia="en-US"/>
    </w:rPr>
  </w:style>
  <w:style w:type="character" w:customStyle="1" w:styleId="statementChar">
    <w:name w:val="statement Char"/>
    <w:aliases w:val="S Char,s Char"/>
    <w:basedOn w:val="DefaultParagraphFont"/>
    <w:link w:val="statement"/>
    <w:rsid w:val="001F418C"/>
  </w:style>
  <w:style w:type="paragraph" w:styleId="TOCHeading">
    <w:name w:val="TOC Heading"/>
    <w:basedOn w:val="Normal"/>
    <w:next w:val="Normal"/>
    <w:uiPriority w:val="39"/>
    <w:unhideWhenUsed/>
    <w:qFormat/>
    <w:rsid w:val="007A6901"/>
    <w:rPr>
      <w:rFonts w:ascii="Arial" w:hAnsi="Arial" w:cs="Arial"/>
      <w:b/>
      <w:bCs/>
      <w:color w:val="007DC3"/>
      <w:sz w:val="36"/>
      <w:szCs w:val="46"/>
    </w:rPr>
  </w:style>
  <w:style w:type="paragraph" w:styleId="TOC1">
    <w:name w:val="toc 1"/>
    <w:basedOn w:val="Normal"/>
    <w:next w:val="Normal"/>
    <w:autoRedefine/>
    <w:uiPriority w:val="39"/>
    <w:qFormat/>
    <w:rsid w:val="006B6F88"/>
    <w:pPr>
      <w:tabs>
        <w:tab w:val="right" w:leader="dot" w:pos="8630"/>
      </w:tabs>
      <w:spacing w:after="120"/>
    </w:pPr>
  </w:style>
  <w:style w:type="paragraph" w:customStyle="1" w:styleId="Default">
    <w:name w:val="Default"/>
    <w:rsid w:val="002F3395"/>
    <w:pPr>
      <w:autoSpaceDE w:val="0"/>
      <w:autoSpaceDN w:val="0"/>
      <w:adjustRightInd w:val="0"/>
    </w:pPr>
    <w:rPr>
      <w:rFonts w:ascii="Calibri" w:hAnsi="Calibri" w:cs="Calibri"/>
      <w:color w:val="000000"/>
      <w:sz w:val="24"/>
      <w:szCs w:val="24"/>
    </w:rPr>
  </w:style>
  <w:style w:type="paragraph" w:styleId="Subtitle">
    <w:name w:val="Subtitle"/>
    <w:basedOn w:val="Normal"/>
    <w:next w:val="Normal"/>
    <w:link w:val="SubtitleChar"/>
    <w:qFormat/>
    <w:rsid w:val="00F67855"/>
    <w:pPr>
      <w:spacing w:after="60"/>
      <w:outlineLvl w:val="1"/>
    </w:pPr>
    <w:rPr>
      <w:rFonts w:ascii="Cambria" w:hAnsi="Cambria"/>
    </w:rPr>
  </w:style>
  <w:style w:type="character" w:customStyle="1" w:styleId="SubtitleChar">
    <w:name w:val="Subtitle Char"/>
    <w:link w:val="Subtitle"/>
    <w:rsid w:val="00F67855"/>
    <w:rPr>
      <w:rFonts w:ascii="Cambria" w:eastAsia="Times New Roman" w:hAnsi="Cambria" w:cs="Times New Roman"/>
      <w:sz w:val="24"/>
      <w:szCs w:val="24"/>
      <w:lang w:val="fr-CA" w:eastAsia="en-CA"/>
    </w:rPr>
  </w:style>
  <w:style w:type="paragraph" w:styleId="TOC2">
    <w:name w:val="toc 2"/>
    <w:basedOn w:val="Normal"/>
    <w:next w:val="Normal"/>
    <w:autoRedefine/>
    <w:uiPriority w:val="39"/>
    <w:qFormat/>
    <w:rsid w:val="006B6F88"/>
    <w:pPr>
      <w:tabs>
        <w:tab w:val="right" w:leader="dot" w:pos="8630"/>
      </w:tabs>
      <w:spacing w:after="120"/>
      <w:ind w:left="245"/>
    </w:pPr>
  </w:style>
  <w:style w:type="character" w:customStyle="1" w:styleId="Heading2Char">
    <w:name w:val="Heading 2 Char"/>
    <w:link w:val="Heading2"/>
    <w:rsid w:val="003E0C7F"/>
    <w:rPr>
      <w:rFonts w:ascii="Cambria" w:eastAsia="Times New Roman" w:hAnsi="Cambria" w:cs="Times New Roman"/>
      <w:b/>
      <w:bCs/>
      <w:i/>
      <w:iCs/>
      <w:sz w:val="24"/>
      <w:szCs w:val="28"/>
      <w:lang w:val="fr-CA" w:eastAsia="en-CA"/>
    </w:rPr>
  </w:style>
  <w:style w:type="character" w:styleId="CommentReference">
    <w:name w:val="annotation reference"/>
    <w:rsid w:val="00C17351"/>
    <w:rPr>
      <w:sz w:val="16"/>
      <w:szCs w:val="16"/>
    </w:rPr>
  </w:style>
  <w:style w:type="paragraph" w:styleId="CommentText">
    <w:name w:val="annotation text"/>
    <w:basedOn w:val="Normal"/>
    <w:link w:val="CommentTextChar"/>
    <w:rsid w:val="00C17351"/>
    <w:rPr>
      <w:sz w:val="20"/>
      <w:szCs w:val="20"/>
    </w:rPr>
  </w:style>
  <w:style w:type="character" w:customStyle="1" w:styleId="CommentTextChar">
    <w:name w:val="Comment Text Char"/>
    <w:link w:val="CommentText"/>
    <w:rsid w:val="00C17351"/>
    <w:rPr>
      <w:lang w:val="fr-CA" w:eastAsia="en-CA"/>
    </w:rPr>
  </w:style>
  <w:style w:type="paragraph" w:styleId="CommentSubject">
    <w:name w:val="annotation subject"/>
    <w:basedOn w:val="CommentText"/>
    <w:next w:val="CommentText"/>
    <w:link w:val="CommentSubjectChar"/>
    <w:rsid w:val="00C17351"/>
    <w:rPr>
      <w:b/>
      <w:bCs/>
    </w:rPr>
  </w:style>
  <w:style w:type="character" w:customStyle="1" w:styleId="CommentSubjectChar">
    <w:name w:val="Comment Subject Char"/>
    <w:link w:val="CommentSubject"/>
    <w:rsid w:val="00C17351"/>
    <w:rPr>
      <w:b/>
      <w:bCs/>
      <w:lang w:val="fr-CA" w:eastAsia="en-CA"/>
    </w:rPr>
  </w:style>
  <w:style w:type="paragraph" w:styleId="Header">
    <w:name w:val="header"/>
    <w:basedOn w:val="Normal"/>
    <w:link w:val="HeaderChar"/>
    <w:rsid w:val="00574453"/>
    <w:pPr>
      <w:tabs>
        <w:tab w:val="center" w:pos="4680"/>
        <w:tab w:val="right" w:pos="9360"/>
      </w:tabs>
    </w:pPr>
  </w:style>
  <w:style w:type="character" w:customStyle="1" w:styleId="HeaderChar">
    <w:name w:val="Header Char"/>
    <w:link w:val="Header"/>
    <w:rsid w:val="00574453"/>
    <w:rPr>
      <w:sz w:val="24"/>
      <w:szCs w:val="24"/>
      <w:lang w:val="fr-CA" w:eastAsia="en-CA"/>
    </w:rPr>
  </w:style>
  <w:style w:type="paragraph" w:styleId="Footer">
    <w:name w:val="footer"/>
    <w:basedOn w:val="Normal"/>
    <w:link w:val="FooterChar"/>
    <w:uiPriority w:val="99"/>
    <w:rsid w:val="00574453"/>
    <w:pPr>
      <w:tabs>
        <w:tab w:val="center" w:pos="4680"/>
        <w:tab w:val="right" w:pos="9360"/>
      </w:tabs>
    </w:pPr>
  </w:style>
  <w:style w:type="character" w:customStyle="1" w:styleId="FooterChar">
    <w:name w:val="Footer Char"/>
    <w:link w:val="Footer"/>
    <w:uiPriority w:val="99"/>
    <w:rsid w:val="00574453"/>
    <w:rPr>
      <w:sz w:val="24"/>
      <w:szCs w:val="24"/>
      <w:lang w:val="fr-CA" w:eastAsia="en-CA"/>
    </w:rPr>
  </w:style>
  <w:style w:type="paragraph" w:styleId="TOC3">
    <w:name w:val="toc 3"/>
    <w:basedOn w:val="Normal"/>
    <w:next w:val="Normal"/>
    <w:autoRedefine/>
    <w:uiPriority w:val="39"/>
    <w:unhideWhenUsed/>
    <w:qFormat/>
    <w:rsid w:val="00B26F10"/>
    <w:pPr>
      <w:spacing w:after="100" w:line="276" w:lineRule="auto"/>
      <w:ind w:left="440"/>
      <w:jc w:val="left"/>
    </w:pPr>
    <w:rPr>
      <w:rFonts w:ascii="Calibri" w:hAnsi="Calibri"/>
      <w:sz w:val="22"/>
      <w:szCs w:val="22"/>
      <w:lang w:eastAsia="en-US"/>
    </w:rPr>
  </w:style>
  <w:style w:type="character" w:styleId="LineNumber">
    <w:name w:val="line number"/>
    <w:basedOn w:val="DefaultParagraphFont"/>
    <w:rsid w:val="00BF0B4E"/>
  </w:style>
  <w:style w:type="paragraph" w:styleId="Revision">
    <w:name w:val="Revision"/>
    <w:hidden/>
    <w:uiPriority w:val="99"/>
    <w:semiHidden/>
    <w:rsid w:val="00ED0650"/>
    <w:rPr>
      <w:sz w:val="24"/>
      <w:szCs w:val="24"/>
      <w:lang w:eastAsia="en-CA"/>
    </w:rPr>
  </w:style>
  <w:style w:type="character" w:styleId="FollowedHyperlink">
    <w:name w:val="FollowedHyperlink"/>
    <w:basedOn w:val="DefaultParagraphFont"/>
    <w:semiHidden/>
    <w:unhideWhenUsed/>
    <w:rsid w:val="006628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113926">
      <w:bodyDiv w:val="1"/>
      <w:marLeft w:val="0"/>
      <w:marRight w:val="0"/>
      <w:marTop w:val="0"/>
      <w:marBottom w:val="0"/>
      <w:divBdr>
        <w:top w:val="none" w:sz="0" w:space="0" w:color="auto"/>
        <w:left w:val="none" w:sz="0" w:space="0" w:color="auto"/>
        <w:bottom w:val="none" w:sz="0" w:space="0" w:color="auto"/>
        <w:right w:val="none" w:sz="0" w:space="0" w:color="auto"/>
      </w:divBdr>
    </w:div>
    <w:div w:id="82653429">
      <w:bodyDiv w:val="1"/>
      <w:marLeft w:val="0"/>
      <w:marRight w:val="0"/>
      <w:marTop w:val="0"/>
      <w:marBottom w:val="0"/>
      <w:divBdr>
        <w:top w:val="none" w:sz="0" w:space="0" w:color="auto"/>
        <w:left w:val="none" w:sz="0" w:space="0" w:color="auto"/>
        <w:bottom w:val="none" w:sz="0" w:space="0" w:color="auto"/>
        <w:right w:val="none" w:sz="0" w:space="0" w:color="auto"/>
      </w:divBdr>
    </w:div>
    <w:div w:id="112213453">
      <w:bodyDiv w:val="1"/>
      <w:marLeft w:val="0"/>
      <w:marRight w:val="0"/>
      <w:marTop w:val="0"/>
      <w:marBottom w:val="0"/>
      <w:divBdr>
        <w:top w:val="none" w:sz="0" w:space="0" w:color="auto"/>
        <w:left w:val="none" w:sz="0" w:space="0" w:color="auto"/>
        <w:bottom w:val="none" w:sz="0" w:space="0" w:color="auto"/>
        <w:right w:val="none" w:sz="0" w:space="0" w:color="auto"/>
      </w:divBdr>
    </w:div>
    <w:div w:id="139419915">
      <w:bodyDiv w:val="1"/>
      <w:marLeft w:val="0"/>
      <w:marRight w:val="0"/>
      <w:marTop w:val="0"/>
      <w:marBottom w:val="0"/>
      <w:divBdr>
        <w:top w:val="none" w:sz="0" w:space="0" w:color="auto"/>
        <w:left w:val="none" w:sz="0" w:space="0" w:color="auto"/>
        <w:bottom w:val="none" w:sz="0" w:space="0" w:color="auto"/>
        <w:right w:val="none" w:sz="0" w:space="0" w:color="auto"/>
      </w:divBdr>
    </w:div>
    <w:div w:id="152919317">
      <w:bodyDiv w:val="1"/>
      <w:marLeft w:val="0"/>
      <w:marRight w:val="0"/>
      <w:marTop w:val="0"/>
      <w:marBottom w:val="0"/>
      <w:divBdr>
        <w:top w:val="none" w:sz="0" w:space="0" w:color="auto"/>
        <w:left w:val="none" w:sz="0" w:space="0" w:color="auto"/>
        <w:bottom w:val="none" w:sz="0" w:space="0" w:color="auto"/>
        <w:right w:val="none" w:sz="0" w:space="0" w:color="auto"/>
      </w:divBdr>
    </w:div>
    <w:div w:id="192696180">
      <w:bodyDiv w:val="1"/>
      <w:marLeft w:val="0"/>
      <w:marRight w:val="0"/>
      <w:marTop w:val="0"/>
      <w:marBottom w:val="0"/>
      <w:divBdr>
        <w:top w:val="none" w:sz="0" w:space="0" w:color="auto"/>
        <w:left w:val="none" w:sz="0" w:space="0" w:color="auto"/>
        <w:bottom w:val="none" w:sz="0" w:space="0" w:color="auto"/>
        <w:right w:val="none" w:sz="0" w:space="0" w:color="auto"/>
      </w:divBdr>
    </w:div>
    <w:div w:id="197546156">
      <w:bodyDiv w:val="1"/>
      <w:marLeft w:val="0"/>
      <w:marRight w:val="0"/>
      <w:marTop w:val="0"/>
      <w:marBottom w:val="0"/>
      <w:divBdr>
        <w:top w:val="none" w:sz="0" w:space="0" w:color="auto"/>
        <w:left w:val="none" w:sz="0" w:space="0" w:color="auto"/>
        <w:bottom w:val="none" w:sz="0" w:space="0" w:color="auto"/>
        <w:right w:val="none" w:sz="0" w:space="0" w:color="auto"/>
      </w:divBdr>
    </w:div>
    <w:div w:id="201527546">
      <w:bodyDiv w:val="1"/>
      <w:marLeft w:val="0"/>
      <w:marRight w:val="0"/>
      <w:marTop w:val="0"/>
      <w:marBottom w:val="0"/>
      <w:divBdr>
        <w:top w:val="none" w:sz="0" w:space="0" w:color="auto"/>
        <w:left w:val="none" w:sz="0" w:space="0" w:color="auto"/>
        <w:bottom w:val="none" w:sz="0" w:space="0" w:color="auto"/>
        <w:right w:val="none" w:sz="0" w:space="0" w:color="auto"/>
      </w:divBdr>
    </w:div>
    <w:div w:id="204342293">
      <w:bodyDiv w:val="1"/>
      <w:marLeft w:val="0"/>
      <w:marRight w:val="0"/>
      <w:marTop w:val="0"/>
      <w:marBottom w:val="0"/>
      <w:divBdr>
        <w:top w:val="none" w:sz="0" w:space="0" w:color="auto"/>
        <w:left w:val="none" w:sz="0" w:space="0" w:color="auto"/>
        <w:bottom w:val="none" w:sz="0" w:space="0" w:color="auto"/>
        <w:right w:val="none" w:sz="0" w:space="0" w:color="auto"/>
      </w:divBdr>
    </w:div>
    <w:div w:id="258802795">
      <w:bodyDiv w:val="1"/>
      <w:marLeft w:val="0"/>
      <w:marRight w:val="0"/>
      <w:marTop w:val="0"/>
      <w:marBottom w:val="0"/>
      <w:divBdr>
        <w:top w:val="none" w:sz="0" w:space="0" w:color="auto"/>
        <w:left w:val="none" w:sz="0" w:space="0" w:color="auto"/>
        <w:bottom w:val="none" w:sz="0" w:space="0" w:color="auto"/>
        <w:right w:val="none" w:sz="0" w:space="0" w:color="auto"/>
      </w:divBdr>
    </w:div>
    <w:div w:id="281616427">
      <w:bodyDiv w:val="1"/>
      <w:marLeft w:val="0"/>
      <w:marRight w:val="0"/>
      <w:marTop w:val="0"/>
      <w:marBottom w:val="0"/>
      <w:divBdr>
        <w:top w:val="none" w:sz="0" w:space="0" w:color="auto"/>
        <w:left w:val="none" w:sz="0" w:space="0" w:color="auto"/>
        <w:bottom w:val="none" w:sz="0" w:space="0" w:color="auto"/>
        <w:right w:val="none" w:sz="0" w:space="0" w:color="auto"/>
      </w:divBdr>
    </w:div>
    <w:div w:id="304508021">
      <w:bodyDiv w:val="1"/>
      <w:marLeft w:val="0"/>
      <w:marRight w:val="0"/>
      <w:marTop w:val="0"/>
      <w:marBottom w:val="0"/>
      <w:divBdr>
        <w:top w:val="none" w:sz="0" w:space="0" w:color="auto"/>
        <w:left w:val="none" w:sz="0" w:space="0" w:color="auto"/>
        <w:bottom w:val="none" w:sz="0" w:space="0" w:color="auto"/>
        <w:right w:val="none" w:sz="0" w:space="0" w:color="auto"/>
      </w:divBdr>
    </w:div>
    <w:div w:id="354502924">
      <w:bodyDiv w:val="1"/>
      <w:marLeft w:val="0"/>
      <w:marRight w:val="0"/>
      <w:marTop w:val="0"/>
      <w:marBottom w:val="0"/>
      <w:divBdr>
        <w:top w:val="none" w:sz="0" w:space="0" w:color="auto"/>
        <w:left w:val="none" w:sz="0" w:space="0" w:color="auto"/>
        <w:bottom w:val="none" w:sz="0" w:space="0" w:color="auto"/>
        <w:right w:val="none" w:sz="0" w:space="0" w:color="auto"/>
      </w:divBdr>
    </w:div>
    <w:div w:id="369037325">
      <w:bodyDiv w:val="1"/>
      <w:marLeft w:val="0"/>
      <w:marRight w:val="0"/>
      <w:marTop w:val="0"/>
      <w:marBottom w:val="0"/>
      <w:divBdr>
        <w:top w:val="none" w:sz="0" w:space="0" w:color="auto"/>
        <w:left w:val="none" w:sz="0" w:space="0" w:color="auto"/>
        <w:bottom w:val="none" w:sz="0" w:space="0" w:color="auto"/>
        <w:right w:val="none" w:sz="0" w:space="0" w:color="auto"/>
      </w:divBdr>
    </w:div>
    <w:div w:id="384374234">
      <w:bodyDiv w:val="1"/>
      <w:marLeft w:val="0"/>
      <w:marRight w:val="0"/>
      <w:marTop w:val="0"/>
      <w:marBottom w:val="0"/>
      <w:divBdr>
        <w:top w:val="none" w:sz="0" w:space="0" w:color="auto"/>
        <w:left w:val="none" w:sz="0" w:space="0" w:color="auto"/>
        <w:bottom w:val="none" w:sz="0" w:space="0" w:color="auto"/>
        <w:right w:val="none" w:sz="0" w:space="0" w:color="auto"/>
      </w:divBdr>
    </w:div>
    <w:div w:id="391924880">
      <w:bodyDiv w:val="1"/>
      <w:marLeft w:val="0"/>
      <w:marRight w:val="0"/>
      <w:marTop w:val="0"/>
      <w:marBottom w:val="0"/>
      <w:divBdr>
        <w:top w:val="none" w:sz="0" w:space="0" w:color="auto"/>
        <w:left w:val="none" w:sz="0" w:space="0" w:color="auto"/>
        <w:bottom w:val="none" w:sz="0" w:space="0" w:color="auto"/>
        <w:right w:val="none" w:sz="0" w:space="0" w:color="auto"/>
      </w:divBdr>
    </w:div>
    <w:div w:id="404962039">
      <w:bodyDiv w:val="1"/>
      <w:marLeft w:val="0"/>
      <w:marRight w:val="0"/>
      <w:marTop w:val="0"/>
      <w:marBottom w:val="0"/>
      <w:divBdr>
        <w:top w:val="none" w:sz="0" w:space="0" w:color="auto"/>
        <w:left w:val="none" w:sz="0" w:space="0" w:color="auto"/>
        <w:bottom w:val="none" w:sz="0" w:space="0" w:color="auto"/>
        <w:right w:val="none" w:sz="0" w:space="0" w:color="auto"/>
      </w:divBdr>
    </w:div>
    <w:div w:id="466438326">
      <w:bodyDiv w:val="1"/>
      <w:marLeft w:val="0"/>
      <w:marRight w:val="0"/>
      <w:marTop w:val="0"/>
      <w:marBottom w:val="0"/>
      <w:divBdr>
        <w:top w:val="none" w:sz="0" w:space="0" w:color="auto"/>
        <w:left w:val="none" w:sz="0" w:space="0" w:color="auto"/>
        <w:bottom w:val="none" w:sz="0" w:space="0" w:color="auto"/>
        <w:right w:val="none" w:sz="0" w:space="0" w:color="auto"/>
      </w:divBdr>
    </w:div>
    <w:div w:id="506866077">
      <w:bodyDiv w:val="1"/>
      <w:marLeft w:val="0"/>
      <w:marRight w:val="0"/>
      <w:marTop w:val="0"/>
      <w:marBottom w:val="0"/>
      <w:divBdr>
        <w:top w:val="none" w:sz="0" w:space="0" w:color="auto"/>
        <w:left w:val="none" w:sz="0" w:space="0" w:color="auto"/>
        <w:bottom w:val="none" w:sz="0" w:space="0" w:color="auto"/>
        <w:right w:val="none" w:sz="0" w:space="0" w:color="auto"/>
      </w:divBdr>
    </w:div>
    <w:div w:id="507838809">
      <w:bodyDiv w:val="1"/>
      <w:marLeft w:val="0"/>
      <w:marRight w:val="0"/>
      <w:marTop w:val="0"/>
      <w:marBottom w:val="0"/>
      <w:divBdr>
        <w:top w:val="none" w:sz="0" w:space="0" w:color="auto"/>
        <w:left w:val="none" w:sz="0" w:space="0" w:color="auto"/>
        <w:bottom w:val="none" w:sz="0" w:space="0" w:color="auto"/>
        <w:right w:val="none" w:sz="0" w:space="0" w:color="auto"/>
      </w:divBdr>
    </w:div>
    <w:div w:id="509370875">
      <w:bodyDiv w:val="1"/>
      <w:marLeft w:val="0"/>
      <w:marRight w:val="0"/>
      <w:marTop w:val="0"/>
      <w:marBottom w:val="0"/>
      <w:divBdr>
        <w:top w:val="none" w:sz="0" w:space="0" w:color="auto"/>
        <w:left w:val="none" w:sz="0" w:space="0" w:color="auto"/>
        <w:bottom w:val="none" w:sz="0" w:space="0" w:color="auto"/>
        <w:right w:val="none" w:sz="0" w:space="0" w:color="auto"/>
      </w:divBdr>
    </w:div>
    <w:div w:id="544755665">
      <w:bodyDiv w:val="1"/>
      <w:marLeft w:val="0"/>
      <w:marRight w:val="0"/>
      <w:marTop w:val="0"/>
      <w:marBottom w:val="0"/>
      <w:divBdr>
        <w:top w:val="none" w:sz="0" w:space="0" w:color="auto"/>
        <w:left w:val="none" w:sz="0" w:space="0" w:color="auto"/>
        <w:bottom w:val="none" w:sz="0" w:space="0" w:color="auto"/>
        <w:right w:val="none" w:sz="0" w:space="0" w:color="auto"/>
      </w:divBdr>
    </w:div>
    <w:div w:id="575937806">
      <w:bodyDiv w:val="1"/>
      <w:marLeft w:val="0"/>
      <w:marRight w:val="0"/>
      <w:marTop w:val="0"/>
      <w:marBottom w:val="0"/>
      <w:divBdr>
        <w:top w:val="none" w:sz="0" w:space="0" w:color="auto"/>
        <w:left w:val="none" w:sz="0" w:space="0" w:color="auto"/>
        <w:bottom w:val="none" w:sz="0" w:space="0" w:color="auto"/>
        <w:right w:val="none" w:sz="0" w:space="0" w:color="auto"/>
      </w:divBdr>
    </w:div>
    <w:div w:id="581991400">
      <w:bodyDiv w:val="1"/>
      <w:marLeft w:val="0"/>
      <w:marRight w:val="0"/>
      <w:marTop w:val="0"/>
      <w:marBottom w:val="0"/>
      <w:divBdr>
        <w:top w:val="none" w:sz="0" w:space="0" w:color="auto"/>
        <w:left w:val="none" w:sz="0" w:space="0" w:color="auto"/>
        <w:bottom w:val="none" w:sz="0" w:space="0" w:color="auto"/>
        <w:right w:val="none" w:sz="0" w:space="0" w:color="auto"/>
      </w:divBdr>
    </w:div>
    <w:div w:id="585840516">
      <w:bodyDiv w:val="1"/>
      <w:marLeft w:val="0"/>
      <w:marRight w:val="0"/>
      <w:marTop w:val="0"/>
      <w:marBottom w:val="0"/>
      <w:divBdr>
        <w:top w:val="none" w:sz="0" w:space="0" w:color="auto"/>
        <w:left w:val="none" w:sz="0" w:space="0" w:color="auto"/>
        <w:bottom w:val="none" w:sz="0" w:space="0" w:color="auto"/>
        <w:right w:val="none" w:sz="0" w:space="0" w:color="auto"/>
      </w:divBdr>
    </w:div>
    <w:div w:id="588587115">
      <w:bodyDiv w:val="1"/>
      <w:marLeft w:val="0"/>
      <w:marRight w:val="0"/>
      <w:marTop w:val="0"/>
      <w:marBottom w:val="0"/>
      <w:divBdr>
        <w:top w:val="none" w:sz="0" w:space="0" w:color="auto"/>
        <w:left w:val="none" w:sz="0" w:space="0" w:color="auto"/>
        <w:bottom w:val="none" w:sz="0" w:space="0" w:color="auto"/>
        <w:right w:val="none" w:sz="0" w:space="0" w:color="auto"/>
      </w:divBdr>
    </w:div>
    <w:div w:id="601692816">
      <w:bodyDiv w:val="1"/>
      <w:marLeft w:val="0"/>
      <w:marRight w:val="0"/>
      <w:marTop w:val="0"/>
      <w:marBottom w:val="0"/>
      <w:divBdr>
        <w:top w:val="none" w:sz="0" w:space="0" w:color="auto"/>
        <w:left w:val="none" w:sz="0" w:space="0" w:color="auto"/>
        <w:bottom w:val="none" w:sz="0" w:space="0" w:color="auto"/>
        <w:right w:val="none" w:sz="0" w:space="0" w:color="auto"/>
      </w:divBdr>
    </w:div>
    <w:div w:id="610823298">
      <w:bodyDiv w:val="1"/>
      <w:marLeft w:val="0"/>
      <w:marRight w:val="0"/>
      <w:marTop w:val="0"/>
      <w:marBottom w:val="0"/>
      <w:divBdr>
        <w:top w:val="none" w:sz="0" w:space="0" w:color="auto"/>
        <w:left w:val="none" w:sz="0" w:space="0" w:color="auto"/>
        <w:bottom w:val="none" w:sz="0" w:space="0" w:color="auto"/>
        <w:right w:val="none" w:sz="0" w:space="0" w:color="auto"/>
      </w:divBdr>
    </w:div>
    <w:div w:id="627971641">
      <w:bodyDiv w:val="1"/>
      <w:marLeft w:val="0"/>
      <w:marRight w:val="0"/>
      <w:marTop w:val="0"/>
      <w:marBottom w:val="0"/>
      <w:divBdr>
        <w:top w:val="none" w:sz="0" w:space="0" w:color="auto"/>
        <w:left w:val="none" w:sz="0" w:space="0" w:color="auto"/>
        <w:bottom w:val="none" w:sz="0" w:space="0" w:color="auto"/>
        <w:right w:val="none" w:sz="0" w:space="0" w:color="auto"/>
      </w:divBdr>
    </w:div>
    <w:div w:id="699404795">
      <w:bodyDiv w:val="1"/>
      <w:marLeft w:val="0"/>
      <w:marRight w:val="0"/>
      <w:marTop w:val="0"/>
      <w:marBottom w:val="0"/>
      <w:divBdr>
        <w:top w:val="none" w:sz="0" w:space="0" w:color="auto"/>
        <w:left w:val="none" w:sz="0" w:space="0" w:color="auto"/>
        <w:bottom w:val="none" w:sz="0" w:space="0" w:color="auto"/>
        <w:right w:val="none" w:sz="0" w:space="0" w:color="auto"/>
      </w:divBdr>
    </w:div>
    <w:div w:id="747968030">
      <w:bodyDiv w:val="1"/>
      <w:marLeft w:val="0"/>
      <w:marRight w:val="0"/>
      <w:marTop w:val="0"/>
      <w:marBottom w:val="0"/>
      <w:divBdr>
        <w:top w:val="none" w:sz="0" w:space="0" w:color="auto"/>
        <w:left w:val="none" w:sz="0" w:space="0" w:color="auto"/>
        <w:bottom w:val="none" w:sz="0" w:space="0" w:color="auto"/>
        <w:right w:val="none" w:sz="0" w:space="0" w:color="auto"/>
      </w:divBdr>
    </w:div>
    <w:div w:id="759446522">
      <w:bodyDiv w:val="1"/>
      <w:marLeft w:val="0"/>
      <w:marRight w:val="0"/>
      <w:marTop w:val="0"/>
      <w:marBottom w:val="0"/>
      <w:divBdr>
        <w:top w:val="none" w:sz="0" w:space="0" w:color="auto"/>
        <w:left w:val="none" w:sz="0" w:space="0" w:color="auto"/>
        <w:bottom w:val="none" w:sz="0" w:space="0" w:color="auto"/>
        <w:right w:val="none" w:sz="0" w:space="0" w:color="auto"/>
      </w:divBdr>
    </w:div>
    <w:div w:id="810253407">
      <w:bodyDiv w:val="1"/>
      <w:marLeft w:val="0"/>
      <w:marRight w:val="0"/>
      <w:marTop w:val="0"/>
      <w:marBottom w:val="0"/>
      <w:divBdr>
        <w:top w:val="none" w:sz="0" w:space="0" w:color="auto"/>
        <w:left w:val="none" w:sz="0" w:space="0" w:color="auto"/>
        <w:bottom w:val="none" w:sz="0" w:space="0" w:color="auto"/>
        <w:right w:val="none" w:sz="0" w:space="0" w:color="auto"/>
      </w:divBdr>
    </w:div>
    <w:div w:id="858348898">
      <w:bodyDiv w:val="1"/>
      <w:marLeft w:val="0"/>
      <w:marRight w:val="0"/>
      <w:marTop w:val="0"/>
      <w:marBottom w:val="0"/>
      <w:divBdr>
        <w:top w:val="none" w:sz="0" w:space="0" w:color="auto"/>
        <w:left w:val="none" w:sz="0" w:space="0" w:color="auto"/>
        <w:bottom w:val="none" w:sz="0" w:space="0" w:color="auto"/>
        <w:right w:val="none" w:sz="0" w:space="0" w:color="auto"/>
      </w:divBdr>
    </w:div>
    <w:div w:id="874544650">
      <w:bodyDiv w:val="1"/>
      <w:marLeft w:val="0"/>
      <w:marRight w:val="0"/>
      <w:marTop w:val="0"/>
      <w:marBottom w:val="0"/>
      <w:divBdr>
        <w:top w:val="none" w:sz="0" w:space="0" w:color="auto"/>
        <w:left w:val="none" w:sz="0" w:space="0" w:color="auto"/>
        <w:bottom w:val="none" w:sz="0" w:space="0" w:color="auto"/>
        <w:right w:val="none" w:sz="0" w:space="0" w:color="auto"/>
      </w:divBdr>
    </w:div>
    <w:div w:id="915866454">
      <w:bodyDiv w:val="1"/>
      <w:marLeft w:val="0"/>
      <w:marRight w:val="0"/>
      <w:marTop w:val="0"/>
      <w:marBottom w:val="0"/>
      <w:divBdr>
        <w:top w:val="none" w:sz="0" w:space="0" w:color="auto"/>
        <w:left w:val="none" w:sz="0" w:space="0" w:color="auto"/>
        <w:bottom w:val="none" w:sz="0" w:space="0" w:color="auto"/>
        <w:right w:val="none" w:sz="0" w:space="0" w:color="auto"/>
      </w:divBdr>
    </w:div>
    <w:div w:id="948317380">
      <w:bodyDiv w:val="1"/>
      <w:marLeft w:val="0"/>
      <w:marRight w:val="0"/>
      <w:marTop w:val="0"/>
      <w:marBottom w:val="0"/>
      <w:divBdr>
        <w:top w:val="none" w:sz="0" w:space="0" w:color="auto"/>
        <w:left w:val="none" w:sz="0" w:space="0" w:color="auto"/>
        <w:bottom w:val="none" w:sz="0" w:space="0" w:color="auto"/>
        <w:right w:val="none" w:sz="0" w:space="0" w:color="auto"/>
      </w:divBdr>
    </w:div>
    <w:div w:id="1031421811">
      <w:bodyDiv w:val="1"/>
      <w:marLeft w:val="0"/>
      <w:marRight w:val="0"/>
      <w:marTop w:val="0"/>
      <w:marBottom w:val="0"/>
      <w:divBdr>
        <w:top w:val="none" w:sz="0" w:space="0" w:color="auto"/>
        <w:left w:val="none" w:sz="0" w:space="0" w:color="auto"/>
        <w:bottom w:val="none" w:sz="0" w:space="0" w:color="auto"/>
        <w:right w:val="none" w:sz="0" w:space="0" w:color="auto"/>
      </w:divBdr>
    </w:div>
    <w:div w:id="1041706707">
      <w:bodyDiv w:val="1"/>
      <w:marLeft w:val="0"/>
      <w:marRight w:val="0"/>
      <w:marTop w:val="0"/>
      <w:marBottom w:val="0"/>
      <w:divBdr>
        <w:top w:val="none" w:sz="0" w:space="0" w:color="auto"/>
        <w:left w:val="none" w:sz="0" w:space="0" w:color="auto"/>
        <w:bottom w:val="none" w:sz="0" w:space="0" w:color="auto"/>
        <w:right w:val="none" w:sz="0" w:space="0" w:color="auto"/>
      </w:divBdr>
    </w:div>
    <w:div w:id="1048452438">
      <w:bodyDiv w:val="1"/>
      <w:marLeft w:val="0"/>
      <w:marRight w:val="0"/>
      <w:marTop w:val="0"/>
      <w:marBottom w:val="0"/>
      <w:divBdr>
        <w:top w:val="none" w:sz="0" w:space="0" w:color="auto"/>
        <w:left w:val="none" w:sz="0" w:space="0" w:color="auto"/>
        <w:bottom w:val="none" w:sz="0" w:space="0" w:color="auto"/>
        <w:right w:val="none" w:sz="0" w:space="0" w:color="auto"/>
      </w:divBdr>
    </w:div>
    <w:div w:id="1080634743">
      <w:bodyDiv w:val="1"/>
      <w:marLeft w:val="0"/>
      <w:marRight w:val="0"/>
      <w:marTop w:val="0"/>
      <w:marBottom w:val="0"/>
      <w:divBdr>
        <w:top w:val="none" w:sz="0" w:space="0" w:color="auto"/>
        <w:left w:val="none" w:sz="0" w:space="0" w:color="auto"/>
        <w:bottom w:val="none" w:sz="0" w:space="0" w:color="auto"/>
        <w:right w:val="none" w:sz="0" w:space="0" w:color="auto"/>
      </w:divBdr>
    </w:div>
    <w:div w:id="1215846564">
      <w:bodyDiv w:val="1"/>
      <w:marLeft w:val="0"/>
      <w:marRight w:val="0"/>
      <w:marTop w:val="0"/>
      <w:marBottom w:val="0"/>
      <w:divBdr>
        <w:top w:val="none" w:sz="0" w:space="0" w:color="auto"/>
        <w:left w:val="none" w:sz="0" w:space="0" w:color="auto"/>
        <w:bottom w:val="none" w:sz="0" w:space="0" w:color="auto"/>
        <w:right w:val="none" w:sz="0" w:space="0" w:color="auto"/>
      </w:divBdr>
    </w:div>
    <w:div w:id="1217278366">
      <w:bodyDiv w:val="1"/>
      <w:marLeft w:val="0"/>
      <w:marRight w:val="0"/>
      <w:marTop w:val="0"/>
      <w:marBottom w:val="0"/>
      <w:divBdr>
        <w:top w:val="none" w:sz="0" w:space="0" w:color="auto"/>
        <w:left w:val="none" w:sz="0" w:space="0" w:color="auto"/>
        <w:bottom w:val="none" w:sz="0" w:space="0" w:color="auto"/>
        <w:right w:val="none" w:sz="0" w:space="0" w:color="auto"/>
      </w:divBdr>
    </w:div>
    <w:div w:id="1339696293">
      <w:bodyDiv w:val="1"/>
      <w:marLeft w:val="0"/>
      <w:marRight w:val="0"/>
      <w:marTop w:val="0"/>
      <w:marBottom w:val="0"/>
      <w:divBdr>
        <w:top w:val="none" w:sz="0" w:space="0" w:color="auto"/>
        <w:left w:val="none" w:sz="0" w:space="0" w:color="auto"/>
        <w:bottom w:val="none" w:sz="0" w:space="0" w:color="auto"/>
        <w:right w:val="none" w:sz="0" w:space="0" w:color="auto"/>
      </w:divBdr>
    </w:div>
    <w:div w:id="1423985840">
      <w:bodyDiv w:val="1"/>
      <w:marLeft w:val="0"/>
      <w:marRight w:val="0"/>
      <w:marTop w:val="0"/>
      <w:marBottom w:val="0"/>
      <w:divBdr>
        <w:top w:val="none" w:sz="0" w:space="0" w:color="auto"/>
        <w:left w:val="none" w:sz="0" w:space="0" w:color="auto"/>
        <w:bottom w:val="none" w:sz="0" w:space="0" w:color="auto"/>
        <w:right w:val="none" w:sz="0" w:space="0" w:color="auto"/>
      </w:divBdr>
    </w:div>
    <w:div w:id="1429891169">
      <w:bodyDiv w:val="1"/>
      <w:marLeft w:val="0"/>
      <w:marRight w:val="0"/>
      <w:marTop w:val="0"/>
      <w:marBottom w:val="0"/>
      <w:divBdr>
        <w:top w:val="none" w:sz="0" w:space="0" w:color="auto"/>
        <w:left w:val="none" w:sz="0" w:space="0" w:color="auto"/>
        <w:bottom w:val="none" w:sz="0" w:space="0" w:color="auto"/>
        <w:right w:val="none" w:sz="0" w:space="0" w:color="auto"/>
      </w:divBdr>
    </w:div>
    <w:div w:id="1450784703">
      <w:bodyDiv w:val="1"/>
      <w:marLeft w:val="0"/>
      <w:marRight w:val="0"/>
      <w:marTop w:val="0"/>
      <w:marBottom w:val="0"/>
      <w:divBdr>
        <w:top w:val="none" w:sz="0" w:space="0" w:color="auto"/>
        <w:left w:val="none" w:sz="0" w:space="0" w:color="auto"/>
        <w:bottom w:val="none" w:sz="0" w:space="0" w:color="auto"/>
        <w:right w:val="none" w:sz="0" w:space="0" w:color="auto"/>
      </w:divBdr>
    </w:div>
    <w:div w:id="1481458713">
      <w:bodyDiv w:val="1"/>
      <w:marLeft w:val="0"/>
      <w:marRight w:val="0"/>
      <w:marTop w:val="0"/>
      <w:marBottom w:val="0"/>
      <w:divBdr>
        <w:top w:val="none" w:sz="0" w:space="0" w:color="auto"/>
        <w:left w:val="none" w:sz="0" w:space="0" w:color="auto"/>
        <w:bottom w:val="none" w:sz="0" w:space="0" w:color="auto"/>
        <w:right w:val="none" w:sz="0" w:space="0" w:color="auto"/>
      </w:divBdr>
    </w:div>
    <w:div w:id="1497841982">
      <w:bodyDiv w:val="1"/>
      <w:marLeft w:val="0"/>
      <w:marRight w:val="0"/>
      <w:marTop w:val="0"/>
      <w:marBottom w:val="0"/>
      <w:divBdr>
        <w:top w:val="none" w:sz="0" w:space="0" w:color="auto"/>
        <w:left w:val="none" w:sz="0" w:space="0" w:color="auto"/>
        <w:bottom w:val="none" w:sz="0" w:space="0" w:color="auto"/>
        <w:right w:val="none" w:sz="0" w:space="0" w:color="auto"/>
      </w:divBdr>
    </w:div>
    <w:div w:id="1531800343">
      <w:bodyDiv w:val="1"/>
      <w:marLeft w:val="0"/>
      <w:marRight w:val="0"/>
      <w:marTop w:val="0"/>
      <w:marBottom w:val="0"/>
      <w:divBdr>
        <w:top w:val="none" w:sz="0" w:space="0" w:color="auto"/>
        <w:left w:val="none" w:sz="0" w:space="0" w:color="auto"/>
        <w:bottom w:val="none" w:sz="0" w:space="0" w:color="auto"/>
        <w:right w:val="none" w:sz="0" w:space="0" w:color="auto"/>
      </w:divBdr>
    </w:div>
    <w:div w:id="1547447222">
      <w:bodyDiv w:val="1"/>
      <w:marLeft w:val="0"/>
      <w:marRight w:val="0"/>
      <w:marTop w:val="0"/>
      <w:marBottom w:val="0"/>
      <w:divBdr>
        <w:top w:val="none" w:sz="0" w:space="0" w:color="auto"/>
        <w:left w:val="none" w:sz="0" w:space="0" w:color="auto"/>
        <w:bottom w:val="none" w:sz="0" w:space="0" w:color="auto"/>
        <w:right w:val="none" w:sz="0" w:space="0" w:color="auto"/>
      </w:divBdr>
    </w:div>
    <w:div w:id="1574660989">
      <w:bodyDiv w:val="1"/>
      <w:marLeft w:val="0"/>
      <w:marRight w:val="0"/>
      <w:marTop w:val="0"/>
      <w:marBottom w:val="0"/>
      <w:divBdr>
        <w:top w:val="none" w:sz="0" w:space="0" w:color="auto"/>
        <w:left w:val="none" w:sz="0" w:space="0" w:color="auto"/>
        <w:bottom w:val="none" w:sz="0" w:space="0" w:color="auto"/>
        <w:right w:val="none" w:sz="0" w:space="0" w:color="auto"/>
      </w:divBdr>
    </w:div>
    <w:div w:id="1665352555">
      <w:bodyDiv w:val="1"/>
      <w:marLeft w:val="0"/>
      <w:marRight w:val="0"/>
      <w:marTop w:val="0"/>
      <w:marBottom w:val="0"/>
      <w:divBdr>
        <w:top w:val="none" w:sz="0" w:space="0" w:color="auto"/>
        <w:left w:val="none" w:sz="0" w:space="0" w:color="auto"/>
        <w:bottom w:val="none" w:sz="0" w:space="0" w:color="auto"/>
        <w:right w:val="none" w:sz="0" w:space="0" w:color="auto"/>
      </w:divBdr>
    </w:div>
    <w:div w:id="1676765720">
      <w:bodyDiv w:val="1"/>
      <w:marLeft w:val="0"/>
      <w:marRight w:val="0"/>
      <w:marTop w:val="0"/>
      <w:marBottom w:val="0"/>
      <w:divBdr>
        <w:top w:val="none" w:sz="0" w:space="0" w:color="auto"/>
        <w:left w:val="none" w:sz="0" w:space="0" w:color="auto"/>
        <w:bottom w:val="none" w:sz="0" w:space="0" w:color="auto"/>
        <w:right w:val="none" w:sz="0" w:space="0" w:color="auto"/>
      </w:divBdr>
    </w:div>
    <w:div w:id="1717193902">
      <w:bodyDiv w:val="1"/>
      <w:marLeft w:val="0"/>
      <w:marRight w:val="0"/>
      <w:marTop w:val="0"/>
      <w:marBottom w:val="0"/>
      <w:divBdr>
        <w:top w:val="none" w:sz="0" w:space="0" w:color="auto"/>
        <w:left w:val="none" w:sz="0" w:space="0" w:color="auto"/>
        <w:bottom w:val="none" w:sz="0" w:space="0" w:color="auto"/>
        <w:right w:val="none" w:sz="0" w:space="0" w:color="auto"/>
      </w:divBdr>
    </w:div>
    <w:div w:id="1772428956">
      <w:bodyDiv w:val="1"/>
      <w:marLeft w:val="0"/>
      <w:marRight w:val="0"/>
      <w:marTop w:val="0"/>
      <w:marBottom w:val="0"/>
      <w:divBdr>
        <w:top w:val="none" w:sz="0" w:space="0" w:color="auto"/>
        <w:left w:val="none" w:sz="0" w:space="0" w:color="auto"/>
        <w:bottom w:val="none" w:sz="0" w:space="0" w:color="auto"/>
        <w:right w:val="none" w:sz="0" w:space="0" w:color="auto"/>
      </w:divBdr>
    </w:div>
    <w:div w:id="1818958667">
      <w:bodyDiv w:val="1"/>
      <w:marLeft w:val="0"/>
      <w:marRight w:val="0"/>
      <w:marTop w:val="0"/>
      <w:marBottom w:val="0"/>
      <w:divBdr>
        <w:top w:val="none" w:sz="0" w:space="0" w:color="auto"/>
        <w:left w:val="none" w:sz="0" w:space="0" w:color="auto"/>
        <w:bottom w:val="none" w:sz="0" w:space="0" w:color="auto"/>
        <w:right w:val="none" w:sz="0" w:space="0" w:color="auto"/>
      </w:divBdr>
    </w:div>
    <w:div w:id="1868058221">
      <w:bodyDiv w:val="1"/>
      <w:marLeft w:val="0"/>
      <w:marRight w:val="0"/>
      <w:marTop w:val="0"/>
      <w:marBottom w:val="0"/>
      <w:divBdr>
        <w:top w:val="none" w:sz="0" w:space="0" w:color="auto"/>
        <w:left w:val="none" w:sz="0" w:space="0" w:color="auto"/>
        <w:bottom w:val="none" w:sz="0" w:space="0" w:color="auto"/>
        <w:right w:val="none" w:sz="0" w:space="0" w:color="auto"/>
      </w:divBdr>
    </w:div>
    <w:div w:id="1871332129">
      <w:bodyDiv w:val="1"/>
      <w:marLeft w:val="0"/>
      <w:marRight w:val="0"/>
      <w:marTop w:val="0"/>
      <w:marBottom w:val="0"/>
      <w:divBdr>
        <w:top w:val="none" w:sz="0" w:space="0" w:color="auto"/>
        <w:left w:val="none" w:sz="0" w:space="0" w:color="auto"/>
        <w:bottom w:val="none" w:sz="0" w:space="0" w:color="auto"/>
        <w:right w:val="none" w:sz="0" w:space="0" w:color="auto"/>
      </w:divBdr>
    </w:div>
    <w:div w:id="1874683434">
      <w:bodyDiv w:val="1"/>
      <w:marLeft w:val="0"/>
      <w:marRight w:val="0"/>
      <w:marTop w:val="0"/>
      <w:marBottom w:val="0"/>
      <w:divBdr>
        <w:top w:val="none" w:sz="0" w:space="0" w:color="auto"/>
        <w:left w:val="none" w:sz="0" w:space="0" w:color="auto"/>
        <w:bottom w:val="none" w:sz="0" w:space="0" w:color="auto"/>
        <w:right w:val="none" w:sz="0" w:space="0" w:color="auto"/>
      </w:divBdr>
    </w:div>
    <w:div w:id="1892762315">
      <w:bodyDiv w:val="1"/>
      <w:marLeft w:val="0"/>
      <w:marRight w:val="0"/>
      <w:marTop w:val="0"/>
      <w:marBottom w:val="0"/>
      <w:divBdr>
        <w:top w:val="none" w:sz="0" w:space="0" w:color="auto"/>
        <w:left w:val="none" w:sz="0" w:space="0" w:color="auto"/>
        <w:bottom w:val="none" w:sz="0" w:space="0" w:color="auto"/>
        <w:right w:val="none" w:sz="0" w:space="0" w:color="auto"/>
      </w:divBdr>
    </w:div>
    <w:div w:id="1936596569">
      <w:bodyDiv w:val="1"/>
      <w:marLeft w:val="0"/>
      <w:marRight w:val="0"/>
      <w:marTop w:val="0"/>
      <w:marBottom w:val="0"/>
      <w:divBdr>
        <w:top w:val="none" w:sz="0" w:space="0" w:color="auto"/>
        <w:left w:val="none" w:sz="0" w:space="0" w:color="auto"/>
        <w:bottom w:val="none" w:sz="0" w:space="0" w:color="auto"/>
        <w:right w:val="none" w:sz="0" w:space="0" w:color="auto"/>
      </w:divBdr>
    </w:div>
    <w:div w:id="1942184317">
      <w:bodyDiv w:val="1"/>
      <w:marLeft w:val="0"/>
      <w:marRight w:val="0"/>
      <w:marTop w:val="0"/>
      <w:marBottom w:val="0"/>
      <w:divBdr>
        <w:top w:val="none" w:sz="0" w:space="0" w:color="auto"/>
        <w:left w:val="none" w:sz="0" w:space="0" w:color="auto"/>
        <w:bottom w:val="none" w:sz="0" w:space="0" w:color="auto"/>
        <w:right w:val="none" w:sz="0" w:space="0" w:color="auto"/>
      </w:divBdr>
    </w:div>
    <w:div w:id="1943679170">
      <w:bodyDiv w:val="1"/>
      <w:marLeft w:val="0"/>
      <w:marRight w:val="0"/>
      <w:marTop w:val="0"/>
      <w:marBottom w:val="0"/>
      <w:divBdr>
        <w:top w:val="none" w:sz="0" w:space="0" w:color="auto"/>
        <w:left w:val="none" w:sz="0" w:space="0" w:color="auto"/>
        <w:bottom w:val="none" w:sz="0" w:space="0" w:color="auto"/>
        <w:right w:val="none" w:sz="0" w:space="0" w:color="auto"/>
      </w:divBdr>
    </w:div>
    <w:div w:id="2017538249">
      <w:bodyDiv w:val="1"/>
      <w:marLeft w:val="0"/>
      <w:marRight w:val="0"/>
      <w:marTop w:val="0"/>
      <w:marBottom w:val="0"/>
      <w:divBdr>
        <w:top w:val="none" w:sz="0" w:space="0" w:color="auto"/>
        <w:left w:val="none" w:sz="0" w:space="0" w:color="auto"/>
        <w:bottom w:val="none" w:sz="0" w:space="0" w:color="auto"/>
        <w:right w:val="none" w:sz="0" w:space="0" w:color="auto"/>
      </w:divBdr>
    </w:div>
    <w:div w:id="2065442919">
      <w:bodyDiv w:val="1"/>
      <w:marLeft w:val="0"/>
      <w:marRight w:val="0"/>
      <w:marTop w:val="0"/>
      <w:marBottom w:val="0"/>
      <w:divBdr>
        <w:top w:val="none" w:sz="0" w:space="0" w:color="auto"/>
        <w:left w:val="none" w:sz="0" w:space="0" w:color="auto"/>
        <w:bottom w:val="none" w:sz="0" w:space="0" w:color="auto"/>
        <w:right w:val="none" w:sz="0" w:space="0" w:color="auto"/>
      </w:divBdr>
    </w:div>
    <w:div w:id="21037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49F14C124D1A4C8D3CE71B962DC99D" ma:contentTypeVersion="15" ma:contentTypeDescription="Create a new document." ma:contentTypeScope="" ma:versionID="9880266b7bb87dbcf6ca01a20516f936">
  <xsd:schema xmlns:xsd="http://www.w3.org/2001/XMLSchema" xmlns:xs="http://www.w3.org/2001/XMLSchema" xmlns:p="http://schemas.microsoft.com/office/2006/metadata/properties" xmlns:ns1="http://schemas.microsoft.com/sharepoint/v3" xmlns:ns3="cfcbb75b-acdc-49fb-91ee-cb4f9da4e282" xmlns:ns4="80ce67f9-ee3c-43b2-82e8-eb3ec23d814b" targetNamespace="http://schemas.microsoft.com/office/2006/metadata/properties" ma:root="true" ma:fieldsID="f0a4388ec57e20e6edb3fe9e6715dfbf" ns1:_="" ns3:_="" ns4:_="">
    <xsd:import namespace="http://schemas.microsoft.com/sharepoint/v3"/>
    <xsd:import namespace="cfcbb75b-acdc-49fb-91ee-cb4f9da4e282"/>
    <xsd:import namespace="80ce67f9-ee3c-43b2-82e8-eb3ec23d814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bb75b-acdc-49fb-91ee-cb4f9da4e28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ce67f9-ee3c-43b2-82e8-eb3ec23d814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AEAAF-4725-4C55-BED1-A2EEE44A5D2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FF8E639-9800-4BCE-9004-A1275690CB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cbb75b-acdc-49fb-91ee-cb4f9da4e282"/>
    <ds:schemaRef ds:uri="80ce67f9-ee3c-43b2-82e8-eb3ec23d8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DA8866-4495-43D8-B80B-2BC2BFA1370E}">
  <ds:schemaRefs>
    <ds:schemaRef ds:uri="http://schemas.microsoft.com/sharepoint/v3/contenttype/forms"/>
  </ds:schemaRefs>
</ds:datastoreItem>
</file>

<file path=customXml/itemProps4.xml><?xml version="1.0" encoding="utf-8"?>
<ds:datastoreItem xmlns:ds="http://schemas.openxmlformats.org/officeDocument/2006/customXml" ds:itemID="{4BB0F80B-D0A0-4D38-99CE-1F00CFE0A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4564</Words>
  <Characters>26017</Characters>
  <Application>Microsoft Office Word</Application>
  <DocSecurity>0</DocSecurity>
  <Lines>216</Lines>
  <Paragraphs>61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Pillar 3 Disclosures</vt:lpstr>
      <vt:lpstr>Pillar 3 Disclosures</vt:lpstr>
    </vt:vector>
  </TitlesOfParts>
  <Company>Wal-Mart Stores, Inc.</Company>
  <LinksUpToDate>false</LinksUpToDate>
  <CharactersWithSpaces>30520</CharactersWithSpaces>
  <SharedDoc>false</SharedDoc>
  <HLinks>
    <vt:vector size="138" baseType="variant">
      <vt:variant>
        <vt:i4>1638460</vt:i4>
      </vt:variant>
      <vt:variant>
        <vt:i4>134</vt:i4>
      </vt:variant>
      <vt:variant>
        <vt:i4>0</vt:i4>
      </vt:variant>
      <vt:variant>
        <vt:i4>5</vt:i4>
      </vt:variant>
      <vt:variant>
        <vt:lpwstr/>
      </vt:variant>
      <vt:variant>
        <vt:lpwstr>_Toc479865744</vt:lpwstr>
      </vt:variant>
      <vt:variant>
        <vt:i4>1638460</vt:i4>
      </vt:variant>
      <vt:variant>
        <vt:i4>128</vt:i4>
      </vt:variant>
      <vt:variant>
        <vt:i4>0</vt:i4>
      </vt:variant>
      <vt:variant>
        <vt:i4>5</vt:i4>
      </vt:variant>
      <vt:variant>
        <vt:lpwstr/>
      </vt:variant>
      <vt:variant>
        <vt:lpwstr>_Toc479865743</vt:lpwstr>
      </vt:variant>
      <vt:variant>
        <vt:i4>1638460</vt:i4>
      </vt:variant>
      <vt:variant>
        <vt:i4>122</vt:i4>
      </vt:variant>
      <vt:variant>
        <vt:i4>0</vt:i4>
      </vt:variant>
      <vt:variant>
        <vt:i4>5</vt:i4>
      </vt:variant>
      <vt:variant>
        <vt:lpwstr/>
      </vt:variant>
      <vt:variant>
        <vt:lpwstr>_Toc479865742</vt:lpwstr>
      </vt:variant>
      <vt:variant>
        <vt:i4>1638460</vt:i4>
      </vt:variant>
      <vt:variant>
        <vt:i4>116</vt:i4>
      </vt:variant>
      <vt:variant>
        <vt:i4>0</vt:i4>
      </vt:variant>
      <vt:variant>
        <vt:i4>5</vt:i4>
      </vt:variant>
      <vt:variant>
        <vt:lpwstr/>
      </vt:variant>
      <vt:variant>
        <vt:lpwstr>_Toc479865741</vt:lpwstr>
      </vt:variant>
      <vt:variant>
        <vt:i4>1638460</vt:i4>
      </vt:variant>
      <vt:variant>
        <vt:i4>110</vt:i4>
      </vt:variant>
      <vt:variant>
        <vt:i4>0</vt:i4>
      </vt:variant>
      <vt:variant>
        <vt:i4>5</vt:i4>
      </vt:variant>
      <vt:variant>
        <vt:lpwstr/>
      </vt:variant>
      <vt:variant>
        <vt:lpwstr>_Toc479865740</vt:lpwstr>
      </vt:variant>
      <vt:variant>
        <vt:i4>1966140</vt:i4>
      </vt:variant>
      <vt:variant>
        <vt:i4>104</vt:i4>
      </vt:variant>
      <vt:variant>
        <vt:i4>0</vt:i4>
      </vt:variant>
      <vt:variant>
        <vt:i4>5</vt:i4>
      </vt:variant>
      <vt:variant>
        <vt:lpwstr/>
      </vt:variant>
      <vt:variant>
        <vt:lpwstr>_Toc479865739</vt:lpwstr>
      </vt:variant>
      <vt:variant>
        <vt:i4>1966140</vt:i4>
      </vt:variant>
      <vt:variant>
        <vt:i4>98</vt:i4>
      </vt:variant>
      <vt:variant>
        <vt:i4>0</vt:i4>
      </vt:variant>
      <vt:variant>
        <vt:i4>5</vt:i4>
      </vt:variant>
      <vt:variant>
        <vt:lpwstr/>
      </vt:variant>
      <vt:variant>
        <vt:lpwstr>_Toc479865738</vt:lpwstr>
      </vt:variant>
      <vt:variant>
        <vt:i4>1966140</vt:i4>
      </vt:variant>
      <vt:variant>
        <vt:i4>92</vt:i4>
      </vt:variant>
      <vt:variant>
        <vt:i4>0</vt:i4>
      </vt:variant>
      <vt:variant>
        <vt:i4>5</vt:i4>
      </vt:variant>
      <vt:variant>
        <vt:lpwstr/>
      </vt:variant>
      <vt:variant>
        <vt:lpwstr>_Toc479865737</vt:lpwstr>
      </vt:variant>
      <vt:variant>
        <vt:i4>1966140</vt:i4>
      </vt:variant>
      <vt:variant>
        <vt:i4>86</vt:i4>
      </vt:variant>
      <vt:variant>
        <vt:i4>0</vt:i4>
      </vt:variant>
      <vt:variant>
        <vt:i4>5</vt:i4>
      </vt:variant>
      <vt:variant>
        <vt:lpwstr/>
      </vt:variant>
      <vt:variant>
        <vt:lpwstr>_Toc479865736</vt:lpwstr>
      </vt:variant>
      <vt:variant>
        <vt:i4>1966140</vt:i4>
      </vt:variant>
      <vt:variant>
        <vt:i4>80</vt:i4>
      </vt:variant>
      <vt:variant>
        <vt:i4>0</vt:i4>
      </vt:variant>
      <vt:variant>
        <vt:i4>5</vt:i4>
      </vt:variant>
      <vt:variant>
        <vt:lpwstr/>
      </vt:variant>
      <vt:variant>
        <vt:lpwstr>_Toc479865735</vt:lpwstr>
      </vt:variant>
      <vt:variant>
        <vt:i4>1966140</vt:i4>
      </vt:variant>
      <vt:variant>
        <vt:i4>74</vt:i4>
      </vt:variant>
      <vt:variant>
        <vt:i4>0</vt:i4>
      </vt:variant>
      <vt:variant>
        <vt:i4>5</vt:i4>
      </vt:variant>
      <vt:variant>
        <vt:lpwstr/>
      </vt:variant>
      <vt:variant>
        <vt:lpwstr>_Toc479865734</vt:lpwstr>
      </vt:variant>
      <vt:variant>
        <vt:i4>1966140</vt:i4>
      </vt:variant>
      <vt:variant>
        <vt:i4>68</vt:i4>
      </vt:variant>
      <vt:variant>
        <vt:i4>0</vt:i4>
      </vt:variant>
      <vt:variant>
        <vt:i4>5</vt:i4>
      </vt:variant>
      <vt:variant>
        <vt:lpwstr/>
      </vt:variant>
      <vt:variant>
        <vt:lpwstr>_Toc479865733</vt:lpwstr>
      </vt:variant>
      <vt:variant>
        <vt:i4>1966140</vt:i4>
      </vt:variant>
      <vt:variant>
        <vt:i4>62</vt:i4>
      </vt:variant>
      <vt:variant>
        <vt:i4>0</vt:i4>
      </vt:variant>
      <vt:variant>
        <vt:i4>5</vt:i4>
      </vt:variant>
      <vt:variant>
        <vt:lpwstr/>
      </vt:variant>
      <vt:variant>
        <vt:lpwstr>_Toc479865732</vt:lpwstr>
      </vt:variant>
      <vt:variant>
        <vt:i4>1966140</vt:i4>
      </vt:variant>
      <vt:variant>
        <vt:i4>56</vt:i4>
      </vt:variant>
      <vt:variant>
        <vt:i4>0</vt:i4>
      </vt:variant>
      <vt:variant>
        <vt:i4>5</vt:i4>
      </vt:variant>
      <vt:variant>
        <vt:lpwstr/>
      </vt:variant>
      <vt:variant>
        <vt:lpwstr>_Toc479865731</vt:lpwstr>
      </vt:variant>
      <vt:variant>
        <vt:i4>1966140</vt:i4>
      </vt:variant>
      <vt:variant>
        <vt:i4>50</vt:i4>
      </vt:variant>
      <vt:variant>
        <vt:i4>0</vt:i4>
      </vt:variant>
      <vt:variant>
        <vt:i4>5</vt:i4>
      </vt:variant>
      <vt:variant>
        <vt:lpwstr/>
      </vt:variant>
      <vt:variant>
        <vt:lpwstr>_Toc479865730</vt:lpwstr>
      </vt:variant>
      <vt:variant>
        <vt:i4>2031676</vt:i4>
      </vt:variant>
      <vt:variant>
        <vt:i4>44</vt:i4>
      </vt:variant>
      <vt:variant>
        <vt:i4>0</vt:i4>
      </vt:variant>
      <vt:variant>
        <vt:i4>5</vt:i4>
      </vt:variant>
      <vt:variant>
        <vt:lpwstr/>
      </vt:variant>
      <vt:variant>
        <vt:lpwstr>_Toc479865729</vt:lpwstr>
      </vt:variant>
      <vt:variant>
        <vt:i4>2031676</vt:i4>
      </vt:variant>
      <vt:variant>
        <vt:i4>38</vt:i4>
      </vt:variant>
      <vt:variant>
        <vt:i4>0</vt:i4>
      </vt:variant>
      <vt:variant>
        <vt:i4>5</vt:i4>
      </vt:variant>
      <vt:variant>
        <vt:lpwstr/>
      </vt:variant>
      <vt:variant>
        <vt:lpwstr>_Toc479865728</vt:lpwstr>
      </vt:variant>
      <vt:variant>
        <vt:i4>2031676</vt:i4>
      </vt:variant>
      <vt:variant>
        <vt:i4>32</vt:i4>
      </vt:variant>
      <vt:variant>
        <vt:i4>0</vt:i4>
      </vt:variant>
      <vt:variant>
        <vt:i4>5</vt:i4>
      </vt:variant>
      <vt:variant>
        <vt:lpwstr/>
      </vt:variant>
      <vt:variant>
        <vt:lpwstr>_Toc479865727</vt:lpwstr>
      </vt:variant>
      <vt:variant>
        <vt:i4>2031676</vt:i4>
      </vt:variant>
      <vt:variant>
        <vt:i4>26</vt:i4>
      </vt:variant>
      <vt:variant>
        <vt:i4>0</vt:i4>
      </vt:variant>
      <vt:variant>
        <vt:i4>5</vt:i4>
      </vt:variant>
      <vt:variant>
        <vt:lpwstr/>
      </vt:variant>
      <vt:variant>
        <vt:lpwstr>_Toc479865726</vt:lpwstr>
      </vt:variant>
      <vt:variant>
        <vt:i4>2031676</vt:i4>
      </vt:variant>
      <vt:variant>
        <vt:i4>20</vt:i4>
      </vt:variant>
      <vt:variant>
        <vt:i4>0</vt:i4>
      </vt:variant>
      <vt:variant>
        <vt:i4>5</vt:i4>
      </vt:variant>
      <vt:variant>
        <vt:lpwstr/>
      </vt:variant>
      <vt:variant>
        <vt:lpwstr>_Toc479865725</vt:lpwstr>
      </vt:variant>
      <vt:variant>
        <vt:i4>2031676</vt:i4>
      </vt:variant>
      <vt:variant>
        <vt:i4>14</vt:i4>
      </vt:variant>
      <vt:variant>
        <vt:i4>0</vt:i4>
      </vt:variant>
      <vt:variant>
        <vt:i4>5</vt:i4>
      </vt:variant>
      <vt:variant>
        <vt:lpwstr/>
      </vt:variant>
      <vt:variant>
        <vt:lpwstr>_Toc479865724</vt:lpwstr>
      </vt:variant>
      <vt:variant>
        <vt:i4>2031676</vt:i4>
      </vt:variant>
      <vt:variant>
        <vt:i4>8</vt:i4>
      </vt:variant>
      <vt:variant>
        <vt:i4>0</vt:i4>
      </vt:variant>
      <vt:variant>
        <vt:i4>5</vt:i4>
      </vt:variant>
      <vt:variant>
        <vt:lpwstr/>
      </vt:variant>
      <vt:variant>
        <vt:lpwstr>_Toc479865723</vt:lpwstr>
      </vt:variant>
      <vt:variant>
        <vt:i4>2031676</vt:i4>
      </vt:variant>
      <vt:variant>
        <vt:i4>2</vt:i4>
      </vt:variant>
      <vt:variant>
        <vt:i4>0</vt:i4>
      </vt:variant>
      <vt:variant>
        <vt:i4>5</vt:i4>
      </vt:variant>
      <vt:variant>
        <vt:lpwstr/>
      </vt:variant>
      <vt:variant>
        <vt:lpwstr>_Toc479865722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Pillar 3 Disclosures</dc:title>
  <dc:creator>Andrew Stranz</dc:creator>
  <cp:lastModifiedBy>Cindy Campbell</cp:lastModifiedBy>
  <cp:revision>2</cp:revision>
  <cp:lastPrinted>2020-01-03T18:46:00Z</cp:lastPrinted>
  <dcterms:created xsi:type="dcterms:W3CDTF">2020-06-04T21:23:00Z</dcterms:created>
  <dcterms:modified xsi:type="dcterms:W3CDTF">2020-06-04T21:23:00Z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0x0101005449F14C124D1A4C8D3CE71B962DC99D</vt:lpwstr>
  </property>
</Properties>
</file>